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26" w:rsidRPr="00B628B1" w:rsidRDefault="00B628B1" w:rsidP="00B628B1">
      <w:pPr>
        <w:jc w:val="center"/>
        <w:rPr>
          <w:rFonts w:ascii="Verdana" w:hAnsi="Verdana"/>
          <w:b/>
          <w:u w:val="single"/>
        </w:rPr>
      </w:pPr>
      <w:r w:rsidRPr="00B628B1">
        <w:rPr>
          <w:rFonts w:ascii="Verdana" w:hAnsi="Verdana"/>
          <w:b/>
          <w:u w:val="single"/>
        </w:rPr>
        <w:t>MEETING OF DÚN LAOGHAIRE-RATHDOWN COUNTY COUNCIL</w:t>
      </w:r>
    </w:p>
    <w:p w:rsidR="00B628B1" w:rsidRPr="00F40950" w:rsidRDefault="00055F43" w:rsidP="00B628B1">
      <w:pPr>
        <w:jc w:val="center"/>
        <w:rPr>
          <w:b/>
          <w:u w:val="single"/>
        </w:rPr>
      </w:pPr>
      <w:r>
        <w:rPr>
          <w:rFonts w:ascii="Verdana" w:hAnsi="Verdana"/>
          <w:b/>
          <w:u w:val="single"/>
        </w:rPr>
        <w:t>DATE</w:t>
      </w:r>
      <w:r w:rsidR="00657AB1">
        <w:rPr>
          <w:rFonts w:ascii="Verdana" w:hAnsi="Verdana"/>
          <w:b/>
          <w:u w:val="single"/>
        </w:rPr>
        <w:t xml:space="preserve"> 14</w:t>
      </w:r>
      <w:r w:rsidR="00657AB1" w:rsidRPr="00657AB1">
        <w:rPr>
          <w:rFonts w:ascii="Verdana" w:hAnsi="Verdana"/>
          <w:b/>
          <w:u w:val="single"/>
          <w:vertAlign w:val="superscript"/>
        </w:rPr>
        <w:t>th</w:t>
      </w:r>
      <w:r w:rsidR="00657AB1">
        <w:rPr>
          <w:rFonts w:ascii="Verdana" w:hAnsi="Verdana"/>
          <w:b/>
          <w:u w:val="single"/>
        </w:rPr>
        <w:t xml:space="preserve"> December</w:t>
      </w:r>
      <w:r w:rsidR="00F40950" w:rsidRPr="00F40950">
        <w:rPr>
          <w:rFonts w:ascii="Verdana" w:hAnsi="Verdana"/>
          <w:b/>
          <w:u w:val="single"/>
        </w:rPr>
        <w:t xml:space="preserve"> 2015</w:t>
      </w:r>
    </w:p>
    <w:p w:rsidR="00B628B1" w:rsidRPr="005845A2" w:rsidRDefault="00596C61" w:rsidP="00B628B1">
      <w:pPr>
        <w:jc w:val="center"/>
        <w:rPr>
          <w:rFonts w:ascii="Verdana" w:hAnsi="Verdana"/>
          <w:b/>
          <w:sz w:val="20"/>
          <w:szCs w:val="20"/>
          <w:u w:val="single"/>
        </w:rPr>
      </w:pPr>
      <w:r w:rsidRPr="005845A2">
        <w:rPr>
          <w:rFonts w:ascii="Verdana" w:hAnsi="Verdana"/>
          <w:b/>
          <w:sz w:val="20"/>
          <w:szCs w:val="20"/>
          <w:u w:val="single"/>
        </w:rPr>
        <w:t>Report submitted in accordance with Part 8, Article 81 of the Planning and Development Regulations, 2001, as amended</w:t>
      </w:r>
      <w:r w:rsidR="00517ED2" w:rsidRPr="005845A2">
        <w:rPr>
          <w:rFonts w:ascii="Verdana" w:hAnsi="Verdana"/>
          <w:b/>
          <w:color w:val="FF0000"/>
          <w:sz w:val="20"/>
          <w:szCs w:val="20"/>
          <w:u w:val="single"/>
        </w:rPr>
        <w:t>,</w:t>
      </w:r>
      <w:r w:rsidRPr="005845A2">
        <w:rPr>
          <w:rFonts w:ascii="Verdana" w:hAnsi="Verdana"/>
          <w:b/>
          <w:sz w:val="20"/>
          <w:szCs w:val="20"/>
          <w:u w:val="single"/>
        </w:rPr>
        <w:t xml:space="preserve"> the Planning and De</w:t>
      </w:r>
      <w:r w:rsidR="008C31DE" w:rsidRPr="005845A2">
        <w:rPr>
          <w:rFonts w:ascii="Verdana" w:hAnsi="Verdana"/>
          <w:b/>
          <w:sz w:val="20"/>
          <w:szCs w:val="20"/>
          <w:u w:val="single"/>
        </w:rPr>
        <w:t>velopment Acts 2000, as amended</w:t>
      </w:r>
      <w:r w:rsidRPr="005845A2">
        <w:rPr>
          <w:rFonts w:ascii="Verdana" w:hAnsi="Verdana"/>
          <w:b/>
          <w:sz w:val="20"/>
          <w:szCs w:val="20"/>
          <w:u w:val="single"/>
        </w:rPr>
        <w:t>, and Section 138 of the Local Government Act, 2001</w:t>
      </w:r>
      <w:r w:rsidR="00044030" w:rsidRPr="005845A2">
        <w:rPr>
          <w:rFonts w:ascii="Verdana" w:hAnsi="Verdana"/>
          <w:b/>
          <w:sz w:val="20"/>
          <w:szCs w:val="20"/>
          <w:u w:val="single"/>
        </w:rPr>
        <w:t>, as amended.</w:t>
      </w:r>
    </w:p>
    <w:p w:rsidR="00936146" w:rsidRPr="005845A2" w:rsidRDefault="00F40950" w:rsidP="00AA1843">
      <w:pPr>
        <w:tabs>
          <w:tab w:val="left" w:pos="810"/>
        </w:tabs>
        <w:jc w:val="center"/>
        <w:rPr>
          <w:rFonts w:ascii="Verdana" w:hAnsi="Verdana"/>
          <w:sz w:val="20"/>
        </w:rPr>
      </w:pPr>
      <w:r w:rsidRPr="005845A2">
        <w:rPr>
          <w:rFonts w:ascii="Verdana" w:hAnsi="Verdana"/>
          <w:b/>
          <w:sz w:val="20"/>
          <w:u w:val="single"/>
        </w:rPr>
        <w:t xml:space="preserve">Proposed Development:  </w:t>
      </w:r>
      <w:r w:rsidR="00936146" w:rsidRPr="005845A2">
        <w:rPr>
          <w:rFonts w:ascii="Verdana" w:hAnsi="Verdana"/>
          <w:b/>
          <w:bCs/>
          <w:sz w:val="20"/>
          <w:u w:val="single"/>
        </w:rPr>
        <w:t xml:space="preserve">Proposed </w:t>
      </w:r>
      <w:r w:rsidR="00055F43" w:rsidRPr="005845A2">
        <w:rPr>
          <w:rFonts w:ascii="Verdana" w:hAnsi="Verdana"/>
          <w:b/>
          <w:bCs/>
          <w:sz w:val="20"/>
          <w:u w:val="single"/>
        </w:rPr>
        <w:t>Senior Centre as an extension at Sallynoggin Youth &amp; Community Facility, Sallynoggin,</w:t>
      </w:r>
      <w:r w:rsidR="00936146" w:rsidRPr="005845A2">
        <w:rPr>
          <w:rFonts w:ascii="Verdana" w:hAnsi="Verdana"/>
          <w:b/>
          <w:bCs/>
          <w:sz w:val="20"/>
          <w:u w:val="single"/>
        </w:rPr>
        <w:t xml:space="preserve"> Co Dublin</w:t>
      </w:r>
      <w:r w:rsidR="00055F43" w:rsidRPr="005845A2">
        <w:rPr>
          <w:rFonts w:ascii="Verdana" w:hAnsi="Verdana"/>
          <w:b/>
          <w:bCs/>
          <w:sz w:val="20"/>
          <w:u w:val="single"/>
        </w:rPr>
        <w:t>.</w:t>
      </w:r>
      <w:r w:rsidR="00936146" w:rsidRPr="005845A2">
        <w:rPr>
          <w:rFonts w:ascii="Verdana" w:hAnsi="Verdana"/>
          <w:sz w:val="20"/>
        </w:rPr>
        <w:t xml:space="preserve">                                                                                                     </w:t>
      </w:r>
    </w:p>
    <w:p w:rsidR="00EB4A40" w:rsidRPr="005845A2" w:rsidRDefault="00424595" w:rsidP="00424595">
      <w:pPr>
        <w:pStyle w:val="Heading1"/>
        <w:rPr>
          <w:rFonts w:ascii="Verdana" w:hAnsi="Verdana"/>
        </w:rPr>
      </w:pPr>
      <w:r w:rsidRPr="005845A2">
        <w:rPr>
          <w:rFonts w:ascii="Verdana" w:hAnsi="Verdana"/>
        </w:rPr>
        <w:t>1.</w:t>
      </w:r>
      <w:r w:rsidRPr="005845A2">
        <w:rPr>
          <w:rFonts w:ascii="Verdana" w:hAnsi="Verdana"/>
        </w:rPr>
        <w:tab/>
      </w:r>
      <w:r w:rsidR="00EB4A40" w:rsidRPr="005845A2">
        <w:rPr>
          <w:rFonts w:ascii="Verdana" w:hAnsi="Verdana"/>
        </w:rPr>
        <w:t>PC/H</w:t>
      </w:r>
      <w:r w:rsidR="00F817C7" w:rsidRPr="005845A2">
        <w:rPr>
          <w:rFonts w:ascii="Verdana" w:hAnsi="Verdana"/>
        </w:rPr>
        <w:t>C</w:t>
      </w:r>
      <w:r w:rsidR="00EB4A40" w:rsidRPr="005845A2">
        <w:rPr>
          <w:rFonts w:ascii="Verdana" w:hAnsi="Verdana"/>
        </w:rPr>
        <w:t>/0</w:t>
      </w:r>
      <w:r w:rsidR="00D20548" w:rsidRPr="005845A2">
        <w:rPr>
          <w:rFonts w:ascii="Verdana" w:hAnsi="Verdana"/>
        </w:rPr>
        <w:t>1</w:t>
      </w:r>
      <w:r w:rsidR="00EB4A40" w:rsidRPr="005845A2">
        <w:rPr>
          <w:rFonts w:ascii="Verdana" w:hAnsi="Verdana"/>
        </w:rPr>
        <w:t>/15</w:t>
      </w:r>
    </w:p>
    <w:p w:rsidR="00AF7D26" w:rsidRPr="005845A2" w:rsidRDefault="00596C61" w:rsidP="00AF7D26">
      <w:pPr>
        <w:jc w:val="both"/>
        <w:rPr>
          <w:rFonts w:ascii="Verdana" w:hAnsi="Verdana"/>
          <w:bCs/>
          <w:sz w:val="20"/>
        </w:rPr>
      </w:pPr>
      <w:r w:rsidRPr="005845A2">
        <w:rPr>
          <w:rFonts w:ascii="Verdana" w:hAnsi="Verdana"/>
          <w:sz w:val="20"/>
          <w:szCs w:val="20"/>
        </w:rPr>
        <w:t xml:space="preserve">In accordance with Part 8, Article 81 of the Planning and Development Regulations, 2001, as amended, the Council gave notice of the proposed development in </w:t>
      </w:r>
      <w:r w:rsidR="00F40950" w:rsidRPr="005845A2">
        <w:rPr>
          <w:rFonts w:ascii="Verdana" w:hAnsi="Verdana"/>
          <w:sz w:val="20"/>
          <w:szCs w:val="20"/>
        </w:rPr>
        <w:t xml:space="preserve">The Irish Independent on </w:t>
      </w:r>
      <w:r w:rsidR="00055F43" w:rsidRPr="005845A2">
        <w:rPr>
          <w:rFonts w:ascii="Verdana" w:hAnsi="Verdana"/>
          <w:sz w:val="20"/>
          <w:szCs w:val="20"/>
        </w:rPr>
        <w:t>10</w:t>
      </w:r>
      <w:r w:rsidR="00055F43" w:rsidRPr="005845A2">
        <w:rPr>
          <w:rFonts w:ascii="Verdana" w:hAnsi="Verdana"/>
          <w:sz w:val="20"/>
          <w:szCs w:val="20"/>
          <w:vertAlign w:val="superscript"/>
        </w:rPr>
        <w:t>th</w:t>
      </w:r>
      <w:r w:rsidR="00055F43" w:rsidRPr="005845A2">
        <w:rPr>
          <w:rFonts w:ascii="Verdana" w:hAnsi="Verdana"/>
          <w:sz w:val="20"/>
          <w:szCs w:val="20"/>
        </w:rPr>
        <w:t xml:space="preserve"> September </w:t>
      </w:r>
      <w:r w:rsidR="00F40950" w:rsidRPr="005845A2">
        <w:rPr>
          <w:rFonts w:ascii="Verdana" w:hAnsi="Verdana"/>
          <w:sz w:val="20"/>
          <w:szCs w:val="20"/>
        </w:rPr>
        <w:t>2015</w:t>
      </w:r>
      <w:r w:rsidRPr="005845A2">
        <w:rPr>
          <w:rFonts w:ascii="Verdana" w:hAnsi="Verdana"/>
          <w:sz w:val="20"/>
          <w:szCs w:val="20"/>
        </w:rPr>
        <w:t xml:space="preserve">.  Plans and particulars of the proposed development were available for inspection from </w:t>
      </w:r>
      <w:r w:rsidR="00055F43" w:rsidRPr="005845A2">
        <w:rPr>
          <w:rFonts w:ascii="Verdana" w:hAnsi="Verdana"/>
          <w:sz w:val="20"/>
          <w:szCs w:val="20"/>
        </w:rPr>
        <w:t>10</w:t>
      </w:r>
      <w:r w:rsidR="00055F43" w:rsidRPr="005845A2">
        <w:rPr>
          <w:rFonts w:ascii="Verdana" w:hAnsi="Verdana"/>
          <w:sz w:val="20"/>
          <w:szCs w:val="20"/>
          <w:vertAlign w:val="superscript"/>
        </w:rPr>
        <w:t>th</w:t>
      </w:r>
      <w:r w:rsidR="00055F43" w:rsidRPr="005845A2">
        <w:rPr>
          <w:rFonts w:ascii="Verdana" w:hAnsi="Verdana"/>
          <w:sz w:val="20"/>
          <w:szCs w:val="20"/>
        </w:rPr>
        <w:t xml:space="preserve"> September</w:t>
      </w:r>
      <w:r w:rsidR="00F40950" w:rsidRPr="005845A2">
        <w:rPr>
          <w:rFonts w:ascii="Verdana" w:hAnsi="Verdana"/>
          <w:sz w:val="20"/>
          <w:szCs w:val="20"/>
        </w:rPr>
        <w:t xml:space="preserve"> 2015</w:t>
      </w:r>
      <w:r w:rsidR="00FA59DC" w:rsidRPr="005845A2">
        <w:rPr>
          <w:rFonts w:ascii="Verdana" w:hAnsi="Verdana"/>
          <w:sz w:val="20"/>
          <w:szCs w:val="20"/>
        </w:rPr>
        <w:t xml:space="preserve"> –</w:t>
      </w:r>
      <w:r w:rsidRPr="005845A2">
        <w:rPr>
          <w:rFonts w:ascii="Verdana" w:hAnsi="Verdana"/>
          <w:sz w:val="20"/>
          <w:szCs w:val="20"/>
        </w:rPr>
        <w:t xml:space="preserve"> </w:t>
      </w:r>
      <w:r w:rsidR="00FA59DC" w:rsidRPr="005845A2">
        <w:rPr>
          <w:rFonts w:ascii="Verdana" w:hAnsi="Verdana"/>
          <w:sz w:val="20"/>
          <w:szCs w:val="20"/>
        </w:rPr>
        <w:t>22</w:t>
      </w:r>
      <w:r w:rsidR="00FA59DC" w:rsidRPr="005845A2">
        <w:rPr>
          <w:rFonts w:ascii="Verdana" w:hAnsi="Verdana"/>
          <w:sz w:val="20"/>
          <w:szCs w:val="20"/>
          <w:vertAlign w:val="superscript"/>
        </w:rPr>
        <w:t>nd</w:t>
      </w:r>
      <w:r w:rsidR="00FA59DC" w:rsidRPr="005845A2">
        <w:rPr>
          <w:rFonts w:ascii="Verdana" w:hAnsi="Verdana"/>
          <w:sz w:val="20"/>
          <w:szCs w:val="20"/>
        </w:rPr>
        <w:t xml:space="preserve"> October</w:t>
      </w:r>
      <w:r w:rsidR="00055F43" w:rsidRPr="005845A2">
        <w:rPr>
          <w:rFonts w:ascii="Verdana" w:hAnsi="Verdana"/>
          <w:sz w:val="20"/>
          <w:szCs w:val="20"/>
        </w:rPr>
        <w:t xml:space="preserve"> </w:t>
      </w:r>
      <w:r w:rsidR="00F40950" w:rsidRPr="005845A2">
        <w:rPr>
          <w:rFonts w:ascii="Verdana" w:hAnsi="Verdana"/>
          <w:sz w:val="20"/>
          <w:szCs w:val="20"/>
        </w:rPr>
        <w:t>2015</w:t>
      </w:r>
      <w:r w:rsidRPr="005845A2">
        <w:rPr>
          <w:rFonts w:ascii="Verdana" w:hAnsi="Verdana"/>
          <w:sz w:val="20"/>
          <w:szCs w:val="20"/>
        </w:rPr>
        <w:t xml:space="preserve"> at </w:t>
      </w:r>
      <w:r w:rsidR="00AF7D26" w:rsidRPr="005845A2">
        <w:rPr>
          <w:rFonts w:ascii="Verdana" w:hAnsi="Verdana"/>
          <w:bCs/>
          <w:sz w:val="20"/>
        </w:rPr>
        <w:t xml:space="preserve">the </w:t>
      </w:r>
      <w:r w:rsidR="00AF45C6" w:rsidRPr="005845A2">
        <w:rPr>
          <w:rFonts w:ascii="Verdana" w:hAnsi="Verdana"/>
          <w:bCs/>
          <w:sz w:val="20"/>
        </w:rPr>
        <w:t xml:space="preserve">Housing &amp; Community Department, and </w:t>
      </w:r>
      <w:r w:rsidR="00AF7D26" w:rsidRPr="005845A2">
        <w:rPr>
          <w:rFonts w:ascii="Verdana" w:hAnsi="Verdana"/>
          <w:bCs/>
          <w:sz w:val="20"/>
        </w:rPr>
        <w:t>Planning &amp; Enterprise Department, County Hall, Marine Road, Dún Laoghaire between the hours of 10.00 a.m. to 4.00 p.m. and at the Council offices, Dundrum Office Park, Dundrum between the hours 9.30 a.m. to 12.30</w:t>
      </w:r>
      <w:r w:rsidR="00055F43" w:rsidRPr="005845A2">
        <w:rPr>
          <w:rFonts w:ascii="Verdana" w:hAnsi="Verdana"/>
          <w:bCs/>
          <w:sz w:val="20"/>
        </w:rPr>
        <w:t xml:space="preserve"> p.m. and 1.30 p.m. to 4.30 </w:t>
      </w:r>
      <w:r w:rsidR="008F2CBE" w:rsidRPr="005845A2">
        <w:rPr>
          <w:rFonts w:ascii="Verdana" w:hAnsi="Verdana"/>
          <w:bCs/>
          <w:sz w:val="20"/>
        </w:rPr>
        <w:t>p.m.</w:t>
      </w:r>
      <w:r w:rsidR="00055F43" w:rsidRPr="005845A2">
        <w:rPr>
          <w:rFonts w:ascii="Verdana" w:hAnsi="Verdana"/>
          <w:bCs/>
          <w:sz w:val="20"/>
        </w:rPr>
        <w:t xml:space="preserve"> and at Sallynoggin Youth &amp; Community Facility between the hours of 9.00a.m. </w:t>
      </w:r>
      <w:proofErr w:type="gramStart"/>
      <w:r w:rsidR="00EC4F1E" w:rsidRPr="005845A2">
        <w:rPr>
          <w:rFonts w:ascii="Verdana" w:hAnsi="Verdana"/>
          <w:bCs/>
          <w:sz w:val="20"/>
        </w:rPr>
        <w:t>to</w:t>
      </w:r>
      <w:proofErr w:type="gramEnd"/>
      <w:r w:rsidR="00055F43" w:rsidRPr="005845A2">
        <w:rPr>
          <w:rFonts w:ascii="Verdana" w:hAnsi="Verdana"/>
          <w:bCs/>
          <w:sz w:val="20"/>
        </w:rPr>
        <w:t xml:space="preserve"> 12.30p.m. </w:t>
      </w:r>
      <w:r w:rsidR="00AF7D26" w:rsidRPr="005845A2">
        <w:rPr>
          <w:rFonts w:ascii="Verdana" w:hAnsi="Verdana"/>
          <w:bCs/>
          <w:sz w:val="20"/>
        </w:rPr>
        <w:t xml:space="preserve"> Monday to Friday, excluding Bank Holidays and under dlr consultations on the Council’s website homepage </w:t>
      </w:r>
      <w:hyperlink r:id="rId7" w:history="1">
        <w:r w:rsidR="00AF7D26" w:rsidRPr="005845A2">
          <w:rPr>
            <w:rStyle w:val="Hyperlink"/>
            <w:rFonts w:ascii="Verdana" w:hAnsi="Verdana"/>
            <w:bCs/>
            <w:sz w:val="20"/>
          </w:rPr>
          <w:t>www.dlrcoco.ie</w:t>
        </w:r>
      </w:hyperlink>
      <w:r w:rsidR="00AF7D26" w:rsidRPr="005845A2">
        <w:rPr>
          <w:rFonts w:ascii="Verdana" w:hAnsi="Verdana"/>
          <w:bCs/>
          <w:sz w:val="20"/>
        </w:rPr>
        <w:t>.</w:t>
      </w:r>
    </w:p>
    <w:p w:rsidR="00AF7D26" w:rsidRPr="005845A2" w:rsidRDefault="00AF7D26" w:rsidP="00AF7D26">
      <w:pPr>
        <w:jc w:val="both"/>
        <w:rPr>
          <w:rFonts w:ascii="Verdana" w:hAnsi="Verdana"/>
          <w:bCs/>
          <w:sz w:val="20"/>
        </w:rPr>
      </w:pPr>
      <w:r w:rsidRPr="005845A2">
        <w:rPr>
          <w:rFonts w:ascii="Verdana" w:hAnsi="Verdana"/>
          <w:bCs/>
          <w:sz w:val="20"/>
        </w:rPr>
        <w:t xml:space="preserve">Submissions and observations with regard to the proposed development could be made up to and including </w:t>
      </w:r>
      <w:r w:rsidR="00055F43" w:rsidRPr="005845A2">
        <w:rPr>
          <w:rFonts w:ascii="Verdana" w:hAnsi="Verdana"/>
          <w:bCs/>
          <w:sz w:val="20"/>
        </w:rPr>
        <w:t>5</w:t>
      </w:r>
      <w:r w:rsidR="00055F43" w:rsidRPr="005845A2">
        <w:rPr>
          <w:rFonts w:ascii="Verdana" w:hAnsi="Verdana"/>
          <w:bCs/>
          <w:sz w:val="20"/>
          <w:vertAlign w:val="superscript"/>
        </w:rPr>
        <w:t>th</w:t>
      </w:r>
      <w:r w:rsidR="00055F43" w:rsidRPr="005845A2">
        <w:rPr>
          <w:rFonts w:ascii="Verdana" w:hAnsi="Verdana"/>
          <w:bCs/>
          <w:sz w:val="20"/>
        </w:rPr>
        <w:t xml:space="preserve"> November 2015</w:t>
      </w:r>
      <w:r w:rsidR="00F40950" w:rsidRPr="005845A2">
        <w:rPr>
          <w:rFonts w:ascii="Verdana" w:hAnsi="Verdana"/>
          <w:bCs/>
          <w:sz w:val="20"/>
        </w:rPr>
        <w:t>.</w:t>
      </w:r>
    </w:p>
    <w:p w:rsidR="00AF7D26" w:rsidRPr="005845A2" w:rsidRDefault="00424595" w:rsidP="00424595">
      <w:pPr>
        <w:pStyle w:val="Heading1"/>
        <w:rPr>
          <w:rFonts w:ascii="Verdana" w:hAnsi="Verdana"/>
        </w:rPr>
      </w:pPr>
      <w:r w:rsidRPr="005845A2">
        <w:rPr>
          <w:rFonts w:ascii="Verdana" w:hAnsi="Verdana"/>
        </w:rPr>
        <w:t>2.</w:t>
      </w:r>
      <w:r w:rsidRPr="005845A2">
        <w:rPr>
          <w:rFonts w:ascii="Verdana" w:hAnsi="Verdana"/>
        </w:rPr>
        <w:tab/>
      </w:r>
      <w:r w:rsidR="00AF7D26" w:rsidRPr="005845A2">
        <w:rPr>
          <w:rFonts w:ascii="Verdana" w:hAnsi="Verdana"/>
        </w:rPr>
        <w:t>SITE LOCATION AND DESCRIPTION:</w:t>
      </w:r>
    </w:p>
    <w:p w:rsidR="00672463" w:rsidRPr="005845A2" w:rsidRDefault="00672463" w:rsidP="00672463">
      <w:pPr>
        <w:rPr>
          <w:rFonts w:ascii="Verdana" w:hAnsi="Verdana"/>
          <w:sz w:val="20"/>
          <w:szCs w:val="20"/>
        </w:rPr>
      </w:pPr>
      <w:r w:rsidRPr="005845A2">
        <w:rPr>
          <w:rFonts w:ascii="Verdana" w:hAnsi="Verdana"/>
          <w:sz w:val="20"/>
          <w:szCs w:val="20"/>
        </w:rPr>
        <w:t xml:space="preserve">The Site is located off Park Close road beside the road junction with Pearse Road, Sallynoggin. Opposite the site to the North is a church, the existing Youth </w:t>
      </w:r>
      <w:r w:rsidR="00657AB1" w:rsidRPr="005845A2">
        <w:rPr>
          <w:rFonts w:ascii="Verdana" w:hAnsi="Verdana"/>
          <w:sz w:val="20"/>
          <w:szCs w:val="20"/>
        </w:rPr>
        <w:t xml:space="preserve">&amp; Community </w:t>
      </w:r>
      <w:r w:rsidRPr="005845A2">
        <w:rPr>
          <w:rFonts w:ascii="Verdana" w:hAnsi="Verdana"/>
          <w:sz w:val="20"/>
          <w:szCs w:val="20"/>
        </w:rPr>
        <w:t>Centre is to the East and further East within easy walking distance of the site are shops and a school. This is a quiet mature residential area.</w:t>
      </w:r>
    </w:p>
    <w:p w:rsidR="00AF7D26" w:rsidRPr="005845A2" w:rsidRDefault="00424595" w:rsidP="00424595">
      <w:pPr>
        <w:pStyle w:val="Heading1"/>
        <w:rPr>
          <w:rFonts w:ascii="Verdana" w:hAnsi="Verdana"/>
        </w:rPr>
      </w:pPr>
      <w:r w:rsidRPr="005845A2">
        <w:rPr>
          <w:rFonts w:ascii="Verdana" w:hAnsi="Verdana"/>
        </w:rPr>
        <w:t>3.</w:t>
      </w:r>
      <w:r w:rsidRPr="005845A2">
        <w:rPr>
          <w:rFonts w:ascii="Verdana" w:hAnsi="Verdana"/>
        </w:rPr>
        <w:tab/>
      </w:r>
      <w:r w:rsidR="00AF7D26" w:rsidRPr="005845A2">
        <w:rPr>
          <w:rFonts w:ascii="Verdana" w:hAnsi="Verdana"/>
        </w:rPr>
        <w:t>ZONING AND OTHER OBJECTIVES:</w:t>
      </w:r>
    </w:p>
    <w:p w:rsidR="00672463" w:rsidRPr="005845A2" w:rsidRDefault="00672463" w:rsidP="00672463">
      <w:pPr>
        <w:rPr>
          <w:rFonts w:ascii="Verdana" w:hAnsi="Verdana"/>
          <w:sz w:val="20"/>
          <w:szCs w:val="20"/>
        </w:rPr>
      </w:pPr>
      <w:r w:rsidRPr="005845A2">
        <w:rPr>
          <w:rFonts w:ascii="Verdana" w:hAnsi="Verdana"/>
          <w:sz w:val="20"/>
          <w:szCs w:val="20"/>
        </w:rPr>
        <w:t>The site is located on lands zoned Objective ‘A’- To protect and/</w:t>
      </w:r>
      <w:r w:rsidR="00E36DAA" w:rsidRPr="005845A2">
        <w:rPr>
          <w:rFonts w:ascii="Verdana" w:hAnsi="Verdana"/>
          <w:sz w:val="20"/>
          <w:szCs w:val="20"/>
        </w:rPr>
        <w:t>or improve</w:t>
      </w:r>
      <w:r w:rsidRPr="005845A2">
        <w:rPr>
          <w:rFonts w:ascii="Verdana" w:hAnsi="Verdana"/>
          <w:sz w:val="20"/>
          <w:szCs w:val="20"/>
        </w:rPr>
        <w:t xml:space="preserve"> residential amenity. The surrounding land are also zoned Objective ‘A’.</w:t>
      </w:r>
    </w:p>
    <w:p w:rsidR="00AF7D26" w:rsidRPr="005845A2" w:rsidRDefault="00672463" w:rsidP="00424595">
      <w:pPr>
        <w:pStyle w:val="Heading1"/>
        <w:rPr>
          <w:rFonts w:ascii="Verdana" w:hAnsi="Verdana"/>
        </w:rPr>
      </w:pPr>
      <w:r w:rsidRPr="005845A2">
        <w:rPr>
          <w:rFonts w:ascii="Verdana" w:hAnsi="Verdana"/>
        </w:rPr>
        <w:t xml:space="preserve">4. </w:t>
      </w:r>
      <w:r w:rsidRPr="005845A2">
        <w:rPr>
          <w:rFonts w:ascii="Verdana" w:hAnsi="Verdana"/>
        </w:rPr>
        <w:tab/>
      </w:r>
      <w:r w:rsidR="00AF7D26" w:rsidRPr="005845A2">
        <w:rPr>
          <w:rFonts w:ascii="Verdana" w:hAnsi="Verdana"/>
        </w:rPr>
        <w:t>DETAILED DESCRIPTION OF PROPOSED WORKS:</w:t>
      </w:r>
    </w:p>
    <w:p w:rsidR="00672463" w:rsidRPr="005845A2" w:rsidRDefault="00672463" w:rsidP="00672463">
      <w:pPr>
        <w:rPr>
          <w:rFonts w:ascii="Verdana" w:hAnsi="Verdana"/>
          <w:sz w:val="20"/>
          <w:szCs w:val="20"/>
        </w:rPr>
      </w:pPr>
      <w:r w:rsidRPr="005845A2">
        <w:rPr>
          <w:rFonts w:ascii="Verdana" w:hAnsi="Verdana"/>
          <w:sz w:val="20"/>
          <w:szCs w:val="20"/>
        </w:rPr>
        <w:t xml:space="preserve">This is a one storey new building linked to the existing Youth </w:t>
      </w:r>
      <w:r w:rsidR="00657AB1" w:rsidRPr="005845A2">
        <w:rPr>
          <w:rFonts w:ascii="Verdana" w:hAnsi="Verdana"/>
          <w:sz w:val="20"/>
          <w:szCs w:val="20"/>
        </w:rPr>
        <w:t>&amp; Community Ce</w:t>
      </w:r>
      <w:r w:rsidRPr="005845A2">
        <w:rPr>
          <w:rFonts w:ascii="Verdana" w:hAnsi="Verdana"/>
          <w:sz w:val="20"/>
          <w:szCs w:val="20"/>
        </w:rPr>
        <w:t>ntre to create a combined facility for use by all or for standalone use as a Senior Citizen Centre with its own entrance and facilities.</w:t>
      </w:r>
      <w:r w:rsidR="00FA59DC" w:rsidRPr="005845A2">
        <w:rPr>
          <w:rFonts w:ascii="Verdana" w:hAnsi="Verdana"/>
          <w:sz w:val="20"/>
          <w:szCs w:val="20"/>
        </w:rPr>
        <w:t xml:space="preserve">   There was a previous Senior Citizens Centre on this site which required demolition due to the state of repair. </w:t>
      </w:r>
    </w:p>
    <w:p w:rsidR="00672463" w:rsidRPr="005845A2" w:rsidRDefault="00FA59DC" w:rsidP="00AF4EF9">
      <w:pPr>
        <w:rPr>
          <w:rFonts w:ascii="Verdana" w:hAnsi="Verdana"/>
          <w:sz w:val="20"/>
          <w:szCs w:val="20"/>
        </w:rPr>
      </w:pPr>
      <w:r w:rsidRPr="005845A2">
        <w:rPr>
          <w:rFonts w:ascii="Verdana" w:hAnsi="Verdana"/>
          <w:sz w:val="20"/>
          <w:szCs w:val="20"/>
        </w:rPr>
        <w:t xml:space="preserve">These new </w:t>
      </w:r>
      <w:r w:rsidR="00672463" w:rsidRPr="005845A2">
        <w:rPr>
          <w:rFonts w:ascii="Verdana" w:hAnsi="Verdana"/>
          <w:sz w:val="20"/>
          <w:szCs w:val="20"/>
        </w:rPr>
        <w:t xml:space="preserve">facilities include a large multifunction hall, an entrance hall and storage space, one disabled WC, a kitchen, office, external relaxation area and </w:t>
      </w:r>
      <w:r w:rsidR="00EC4F1E" w:rsidRPr="005845A2">
        <w:rPr>
          <w:rFonts w:ascii="Verdana" w:hAnsi="Verdana"/>
          <w:sz w:val="20"/>
          <w:szCs w:val="20"/>
        </w:rPr>
        <w:t>secure</w:t>
      </w:r>
      <w:r w:rsidR="00672463" w:rsidRPr="005845A2">
        <w:rPr>
          <w:rFonts w:ascii="Verdana" w:hAnsi="Verdana"/>
          <w:sz w:val="20"/>
          <w:szCs w:val="20"/>
        </w:rPr>
        <w:t xml:space="preserve"> bin storage </w:t>
      </w:r>
      <w:r w:rsidR="00EC4F1E" w:rsidRPr="005845A2">
        <w:rPr>
          <w:rFonts w:ascii="Verdana" w:hAnsi="Verdana"/>
          <w:sz w:val="20"/>
          <w:szCs w:val="20"/>
        </w:rPr>
        <w:t>area</w:t>
      </w:r>
      <w:r w:rsidR="00672463" w:rsidRPr="005845A2">
        <w:rPr>
          <w:rFonts w:ascii="Verdana" w:hAnsi="Verdana"/>
          <w:sz w:val="20"/>
          <w:szCs w:val="20"/>
        </w:rPr>
        <w:t xml:space="preserve">. The south facade opens up to the external relaxation area. The west </w:t>
      </w:r>
      <w:r w:rsidR="00672463" w:rsidRPr="005845A2">
        <w:rPr>
          <w:rFonts w:ascii="Verdana" w:hAnsi="Verdana"/>
          <w:sz w:val="20"/>
          <w:szCs w:val="20"/>
        </w:rPr>
        <w:lastRenderedPageBreak/>
        <w:t>façade connects to the Youth</w:t>
      </w:r>
      <w:r w:rsidR="00517ED2" w:rsidRPr="005845A2">
        <w:rPr>
          <w:rFonts w:ascii="Verdana" w:hAnsi="Verdana"/>
          <w:sz w:val="20"/>
          <w:szCs w:val="20"/>
        </w:rPr>
        <w:t xml:space="preserve"> &amp; Community</w:t>
      </w:r>
      <w:r w:rsidR="00672463" w:rsidRPr="005845A2">
        <w:rPr>
          <w:rFonts w:ascii="Verdana" w:hAnsi="Verdana"/>
          <w:sz w:val="20"/>
          <w:szCs w:val="20"/>
        </w:rPr>
        <w:t xml:space="preserve"> Centr</w:t>
      </w:r>
      <w:r w:rsidR="00517ED2" w:rsidRPr="005845A2">
        <w:rPr>
          <w:rFonts w:ascii="Verdana" w:hAnsi="Verdana"/>
          <w:sz w:val="20"/>
          <w:szCs w:val="20"/>
        </w:rPr>
        <w:t>e via a link corridor connecting</w:t>
      </w:r>
      <w:r w:rsidR="00672463" w:rsidRPr="005845A2">
        <w:rPr>
          <w:rFonts w:ascii="Verdana" w:hAnsi="Verdana"/>
          <w:sz w:val="20"/>
          <w:szCs w:val="20"/>
        </w:rPr>
        <w:t xml:space="preserve"> both facilities. The total area of the building is 158 square meters.</w:t>
      </w:r>
    </w:p>
    <w:p w:rsidR="007A3C3E" w:rsidRPr="005845A2" w:rsidRDefault="007A3C3E" w:rsidP="007A3C3E">
      <w:pPr>
        <w:pStyle w:val="Heading1"/>
        <w:rPr>
          <w:rFonts w:ascii="Verdana" w:hAnsi="Verdana"/>
        </w:rPr>
      </w:pPr>
      <w:r w:rsidRPr="005845A2">
        <w:rPr>
          <w:rFonts w:ascii="Verdana" w:hAnsi="Verdana"/>
        </w:rPr>
        <w:t>5.</w:t>
      </w:r>
      <w:r w:rsidRPr="005845A2">
        <w:rPr>
          <w:rFonts w:ascii="Verdana" w:hAnsi="Verdana"/>
        </w:rPr>
        <w:tab/>
        <w:t>APPROPRIATE ASSESSMENT</w:t>
      </w:r>
    </w:p>
    <w:p w:rsidR="0051043F" w:rsidRPr="005845A2" w:rsidRDefault="0051043F" w:rsidP="0051043F">
      <w:pPr>
        <w:jc w:val="both"/>
        <w:rPr>
          <w:rFonts w:ascii="Verdana" w:hAnsi="Verdana"/>
          <w:sz w:val="20"/>
          <w:szCs w:val="20"/>
        </w:rPr>
      </w:pPr>
      <w:r w:rsidRPr="005845A2">
        <w:rPr>
          <w:rFonts w:ascii="Verdana" w:hAnsi="Verdana"/>
          <w:sz w:val="20"/>
          <w:szCs w:val="20"/>
        </w:rPr>
        <w:t>The proposed development is subject to the Guidance for Planning Authorities on Appropriate Assessment of Plans and Projects in Ireland (Department of Environment, Heritage and Local Government, November 2009), and the Planning and Development (Amendment)  (No. 3) Regulations, 2011.  These require that screening is carried out for all projects to examine if any impacts are likel</w:t>
      </w:r>
      <w:r w:rsidR="00044030" w:rsidRPr="005845A2">
        <w:rPr>
          <w:rFonts w:ascii="Verdana" w:hAnsi="Verdana"/>
          <w:sz w:val="20"/>
          <w:szCs w:val="20"/>
        </w:rPr>
        <w:t>y on Natura 2000 sites, that is</w:t>
      </w:r>
      <w:r w:rsidRPr="005845A2">
        <w:rPr>
          <w:rFonts w:ascii="Verdana" w:hAnsi="Verdana"/>
          <w:sz w:val="20"/>
          <w:szCs w:val="20"/>
        </w:rPr>
        <w:t>, Special Areas of Conservation (SAC’s) and Special Protection Areas (SPA’s)</w:t>
      </w:r>
    </w:p>
    <w:p w:rsidR="0051043F" w:rsidRPr="005845A2" w:rsidRDefault="0051043F" w:rsidP="0051043F">
      <w:pPr>
        <w:jc w:val="both"/>
        <w:rPr>
          <w:rFonts w:ascii="Verdana" w:hAnsi="Verdana"/>
          <w:sz w:val="20"/>
          <w:szCs w:val="20"/>
        </w:rPr>
      </w:pPr>
      <w:r w:rsidRPr="005845A2">
        <w:rPr>
          <w:rFonts w:ascii="Verdana" w:hAnsi="Verdana"/>
          <w:sz w:val="20"/>
          <w:szCs w:val="20"/>
        </w:rPr>
        <w:t xml:space="preserve">Scott Cawley </w:t>
      </w:r>
      <w:r w:rsidR="00E36DAA" w:rsidRPr="005845A2">
        <w:rPr>
          <w:rFonts w:ascii="Verdana" w:hAnsi="Verdana"/>
          <w:sz w:val="20"/>
          <w:szCs w:val="20"/>
        </w:rPr>
        <w:t>Limited</w:t>
      </w:r>
      <w:r w:rsidRPr="005845A2">
        <w:rPr>
          <w:rFonts w:ascii="Verdana" w:hAnsi="Verdana"/>
          <w:sz w:val="20"/>
          <w:szCs w:val="20"/>
        </w:rPr>
        <w:t xml:space="preserve"> has reviewed the proposed development with respect to the requirement for an Appropriate Assessment and submitted their report.</w:t>
      </w:r>
    </w:p>
    <w:p w:rsidR="0051043F" w:rsidRPr="005845A2" w:rsidRDefault="0051043F" w:rsidP="0051043F">
      <w:pPr>
        <w:jc w:val="both"/>
        <w:rPr>
          <w:rFonts w:ascii="Verdana" w:hAnsi="Verdana"/>
          <w:sz w:val="20"/>
          <w:szCs w:val="20"/>
        </w:rPr>
      </w:pPr>
      <w:r w:rsidRPr="005845A2">
        <w:rPr>
          <w:rFonts w:ascii="Verdana" w:hAnsi="Verdana"/>
          <w:sz w:val="20"/>
          <w:szCs w:val="20"/>
        </w:rPr>
        <w:t>The report concluded that “there will be no likelihood of significant effects on any European sites and no impacts to European site integrity, either alone or in combination with other plans or projects. Therefore it is our view that an Appropriate Assessment is not required.”</w:t>
      </w:r>
    </w:p>
    <w:p w:rsidR="00AF7D26" w:rsidRPr="005845A2" w:rsidRDefault="007A3C3E" w:rsidP="00424595">
      <w:pPr>
        <w:pStyle w:val="Heading1"/>
        <w:rPr>
          <w:rFonts w:ascii="Verdana" w:hAnsi="Verdana"/>
        </w:rPr>
      </w:pPr>
      <w:r w:rsidRPr="005845A2">
        <w:rPr>
          <w:rFonts w:ascii="Verdana" w:hAnsi="Verdana"/>
        </w:rPr>
        <w:t>6</w:t>
      </w:r>
      <w:r w:rsidR="00424595" w:rsidRPr="005845A2">
        <w:rPr>
          <w:rFonts w:ascii="Verdana" w:hAnsi="Verdana"/>
        </w:rPr>
        <w:t>.</w:t>
      </w:r>
      <w:r w:rsidR="00424595" w:rsidRPr="005845A2">
        <w:rPr>
          <w:rFonts w:ascii="Verdana" w:hAnsi="Verdana"/>
        </w:rPr>
        <w:tab/>
      </w:r>
      <w:r w:rsidR="00E81C18" w:rsidRPr="005845A2">
        <w:rPr>
          <w:rFonts w:ascii="Verdana" w:hAnsi="Verdana"/>
        </w:rPr>
        <w:t xml:space="preserve">IMPLICATIONS OF THE PROPOSED DEVELOPMENT FOR THE PROPER PLANNING AND </w:t>
      </w:r>
      <w:r w:rsidR="00AF45C6" w:rsidRPr="005845A2">
        <w:rPr>
          <w:rFonts w:ascii="Verdana" w:hAnsi="Verdana"/>
        </w:rPr>
        <w:t xml:space="preserve">SUSTAINABLE </w:t>
      </w:r>
      <w:r w:rsidR="00E81C18" w:rsidRPr="005845A2">
        <w:rPr>
          <w:rFonts w:ascii="Verdana" w:hAnsi="Verdana"/>
        </w:rPr>
        <w:t>DEVELOPMENT OF THE AREA</w:t>
      </w:r>
      <w:r w:rsidR="00AF7D26" w:rsidRPr="005845A2">
        <w:rPr>
          <w:rFonts w:ascii="Verdana" w:hAnsi="Verdana"/>
        </w:rPr>
        <w:t>:</w:t>
      </w:r>
    </w:p>
    <w:p w:rsidR="0013473C" w:rsidRPr="005845A2" w:rsidRDefault="00AB2C1D" w:rsidP="00F57D19">
      <w:pPr>
        <w:jc w:val="both"/>
        <w:rPr>
          <w:rFonts w:ascii="Verdana" w:hAnsi="Verdana"/>
          <w:sz w:val="20"/>
          <w:szCs w:val="20"/>
        </w:rPr>
      </w:pPr>
      <w:r w:rsidRPr="005845A2">
        <w:rPr>
          <w:rFonts w:ascii="Verdana" w:hAnsi="Verdana"/>
          <w:sz w:val="20"/>
          <w:szCs w:val="20"/>
        </w:rPr>
        <w:t>In accordance</w:t>
      </w:r>
      <w:r w:rsidR="00E012F9" w:rsidRPr="005845A2">
        <w:rPr>
          <w:rFonts w:ascii="Verdana" w:hAnsi="Verdana"/>
          <w:sz w:val="20"/>
          <w:szCs w:val="20"/>
        </w:rPr>
        <w:t xml:space="preserve"> </w:t>
      </w:r>
      <w:r w:rsidR="00517ED2" w:rsidRPr="005845A2">
        <w:rPr>
          <w:rFonts w:ascii="Verdana" w:hAnsi="Verdana"/>
          <w:sz w:val="20"/>
          <w:szCs w:val="20"/>
        </w:rPr>
        <w:t xml:space="preserve">with the </w:t>
      </w:r>
      <w:r w:rsidR="00E012F9" w:rsidRPr="005845A2">
        <w:rPr>
          <w:rFonts w:ascii="Verdana" w:hAnsi="Verdana"/>
          <w:sz w:val="20"/>
          <w:szCs w:val="20"/>
        </w:rPr>
        <w:t>DLR County Development Plan 2010-2</w:t>
      </w:r>
      <w:r w:rsidR="00517ED2" w:rsidRPr="005845A2">
        <w:rPr>
          <w:rFonts w:ascii="Verdana" w:hAnsi="Verdana"/>
          <w:sz w:val="20"/>
          <w:szCs w:val="20"/>
        </w:rPr>
        <w:t>016 for sustainable development</w:t>
      </w:r>
      <w:r w:rsidR="00F817C7" w:rsidRPr="005845A2">
        <w:rPr>
          <w:rFonts w:ascii="Verdana" w:hAnsi="Verdana"/>
          <w:sz w:val="20"/>
          <w:szCs w:val="20"/>
        </w:rPr>
        <w:t>, Policy</w:t>
      </w:r>
      <w:r w:rsidR="0013473C" w:rsidRPr="005845A2">
        <w:rPr>
          <w:rFonts w:ascii="Verdana" w:hAnsi="Verdana"/>
          <w:sz w:val="20"/>
          <w:szCs w:val="20"/>
        </w:rPr>
        <w:t xml:space="preserve"> 8.3.1</w:t>
      </w:r>
      <w:r w:rsidR="00517ED2" w:rsidRPr="005845A2">
        <w:rPr>
          <w:rFonts w:ascii="Verdana" w:hAnsi="Verdana"/>
          <w:sz w:val="20"/>
          <w:szCs w:val="20"/>
        </w:rPr>
        <w:t xml:space="preserve"> </w:t>
      </w:r>
      <w:r w:rsidR="0013473C" w:rsidRPr="005845A2">
        <w:rPr>
          <w:rFonts w:ascii="Verdana" w:hAnsi="Verdana"/>
          <w:sz w:val="20"/>
          <w:szCs w:val="20"/>
        </w:rPr>
        <w:t xml:space="preserve">of the DLR Development Plan 2010-2016 states that it is Council policy to support “the need to integrate housing with the provision of supporting community and social infrastructure. The Guidelines acknowledge that community facilities should be located within, or close to neighbourhood centres and be well served by public transport. Dún Laoghaire-Rathdown County Council recognises that the facilities that cater for social and community needs are an essential component in designing for sustainable communities. Meeting halls and community centres, along with schools, health centres, </w:t>
      </w:r>
      <w:r w:rsidR="00EC4F1E" w:rsidRPr="005845A2">
        <w:rPr>
          <w:rFonts w:ascii="Verdana" w:hAnsi="Verdana"/>
          <w:sz w:val="20"/>
          <w:szCs w:val="20"/>
        </w:rPr>
        <w:t>doctors’</w:t>
      </w:r>
      <w:r w:rsidR="0013473C" w:rsidRPr="005845A2">
        <w:rPr>
          <w:rFonts w:ascii="Verdana" w:hAnsi="Verdana"/>
          <w:sz w:val="20"/>
          <w:szCs w:val="20"/>
        </w:rPr>
        <w:t xml:space="preserve"> surgeries, libraries and churches provide a communal resource through which the residents of a neighbourhood can gain information, education, medical or welfare assistance and social contact. The Council will ensure that an appropriate range of community facilities are provided across the County to ensure that the vitality and sustainability of residential neighbourhoods in Dún Laoghaire–Rathdown are fostered. In designing for new facilities it is essential to ensure that they are adaptable over time to meet the changing needs of the population and to provide potential for maximising their dual usage during evenings/weekends/school holidays.”</w:t>
      </w:r>
    </w:p>
    <w:p w:rsidR="00F00E59" w:rsidRPr="005845A2" w:rsidRDefault="007A3C3E" w:rsidP="00424595">
      <w:pPr>
        <w:pStyle w:val="Heading1"/>
        <w:rPr>
          <w:rFonts w:ascii="Verdana" w:hAnsi="Verdana"/>
        </w:rPr>
      </w:pPr>
      <w:r w:rsidRPr="005845A2">
        <w:rPr>
          <w:rFonts w:ascii="Verdana" w:hAnsi="Verdana"/>
        </w:rPr>
        <w:t>7</w:t>
      </w:r>
      <w:r w:rsidR="00424595" w:rsidRPr="005845A2">
        <w:rPr>
          <w:rFonts w:ascii="Verdana" w:hAnsi="Verdana"/>
        </w:rPr>
        <w:t>.</w:t>
      </w:r>
      <w:r w:rsidR="00424595" w:rsidRPr="005845A2">
        <w:rPr>
          <w:rFonts w:ascii="Verdana" w:hAnsi="Verdana"/>
        </w:rPr>
        <w:tab/>
      </w:r>
      <w:r w:rsidR="00F00E59" w:rsidRPr="005845A2">
        <w:rPr>
          <w:rFonts w:ascii="Verdana" w:hAnsi="Verdana"/>
        </w:rPr>
        <w:t>INTERNAL REPORTS RECEIVED</w:t>
      </w:r>
    </w:p>
    <w:p w:rsidR="000E6375" w:rsidRPr="005845A2" w:rsidRDefault="007A414B" w:rsidP="007A414B">
      <w:pPr>
        <w:rPr>
          <w:rFonts w:ascii="Verdana" w:hAnsi="Verdana"/>
          <w:b/>
          <w:sz w:val="20"/>
          <w:szCs w:val="20"/>
        </w:rPr>
      </w:pPr>
      <w:r w:rsidRPr="005845A2">
        <w:rPr>
          <w:rFonts w:ascii="Verdana" w:hAnsi="Verdana"/>
          <w:b/>
          <w:sz w:val="20"/>
          <w:szCs w:val="20"/>
        </w:rPr>
        <w:t>Transportation and Drainage Services:</w:t>
      </w:r>
    </w:p>
    <w:p w:rsidR="00EB4C02" w:rsidRPr="005845A2" w:rsidRDefault="007A414B" w:rsidP="00EB4C02">
      <w:pPr>
        <w:autoSpaceDE w:val="0"/>
        <w:autoSpaceDN w:val="0"/>
        <w:adjustRightInd w:val="0"/>
        <w:rPr>
          <w:rFonts w:ascii="Verdana" w:hAnsi="Verdana" w:cs="Calibri"/>
          <w:sz w:val="20"/>
          <w:szCs w:val="20"/>
          <w:lang w:val="en-IE"/>
        </w:rPr>
      </w:pPr>
      <w:r w:rsidRPr="005845A2">
        <w:rPr>
          <w:rFonts w:ascii="Verdana" w:hAnsi="Verdana"/>
          <w:sz w:val="20"/>
          <w:szCs w:val="20"/>
        </w:rPr>
        <w:t xml:space="preserve">In </w:t>
      </w:r>
      <w:r w:rsidR="00E62872" w:rsidRPr="005845A2">
        <w:rPr>
          <w:rFonts w:ascii="Verdana" w:hAnsi="Verdana"/>
          <w:sz w:val="20"/>
          <w:szCs w:val="20"/>
        </w:rPr>
        <w:t>report</w:t>
      </w:r>
      <w:r w:rsidRPr="005845A2">
        <w:rPr>
          <w:rFonts w:ascii="Verdana" w:hAnsi="Verdana"/>
          <w:sz w:val="20"/>
          <w:szCs w:val="20"/>
        </w:rPr>
        <w:t xml:space="preserve"> dated </w:t>
      </w:r>
      <w:r w:rsidR="00AF4EF9" w:rsidRPr="005845A2">
        <w:rPr>
          <w:rFonts w:ascii="Verdana" w:hAnsi="Verdana"/>
          <w:sz w:val="20"/>
          <w:szCs w:val="20"/>
        </w:rPr>
        <w:t>4</w:t>
      </w:r>
      <w:r w:rsidR="00AF4EF9" w:rsidRPr="005845A2">
        <w:rPr>
          <w:rFonts w:ascii="Verdana" w:hAnsi="Verdana"/>
          <w:sz w:val="20"/>
          <w:szCs w:val="20"/>
          <w:vertAlign w:val="superscript"/>
        </w:rPr>
        <w:t>th</w:t>
      </w:r>
      <w:r w:rsidR="00AF4EF9" w:rsidRPr="005845A2">
        <w:rPr>
          <w:rFonts w:ascii="Verdana" w:hAnsi="Verdana"/>
          <w:sz w:val="20"/>
          <w:szCs w:val="20"/>
        </w:rPr>
        <w:t xml:space="preserve"> June 2014</w:t>
      </w:r>
      <w:r w:rsidRPr="005845A2">
        <w:rPr>
          <w:rFonts w:ascii="Verdana" w:hAnsi="Verdana"/>
          <w:sz w:val="20"/>
          <w:szCs w:val="20"/>
        </w:rPr>
        <w:t xml:space="preserve"> the Transportation Department </w:t>
      </w:r>
      <w:r w:rsidR="00EB4C02" w:rsidRPr="005845A2">
        <w:rPr>
          <w:rFonts w:ascii="Verdana" w:hAnsi="Verdana" w:cs="Calibri"/>
          <w:sz w:val="20"/>
          <w:szCs w:val="20"/>
          <w:lang w:val="en-IE"/>
        </w:rPr>
        <w:t>ha</w:t>
      </w:r>
      <w:r w:rsidR="00232270" w:rsidRPr="005845A2">
        <w:rPr>
          <w:rFonts w:ascii="Verdana" w:hAnsi="Verdana" w:cs="Calibri"/>
          <w:sz w:val="20"/>
          <w:szCs w:val="20"/>
          <w:lang w:val="en-IE"/>
        </w:rPr>
        <w:t>s</w:t>
      </w:r>
      <w:r w:rsidR="00EB4C02" w:rsidRPr="005845A2">
        <w:rPr>
          <w:rFonts w:ascii="Verdana" w:hAnsi="Verdana" w:cs="Calibri"/>
          <w:sz w:val="20"/>
          <w:szCs w:val="20"/>
          <w:lang w:val="en-IE"/>
        </w:rPr>
        <w:t xml:space="preserve"> no objection to the proposed </w:t>
      </w:r>
      <w:r w:rsidR="00AF4EF9" w:rsidRPr="005845A2">
        <w:rPr>
          <w:rFonts w:ascii="Verdana" w:hAnsi="Verdana" w:cs="Calibri"/>
          <w:sz w:val="20"/>
          <w:szCs w:val="20"/>
          <w:lang w:val="en-IE"/>
        </w:rPr>
        <w:t>at Sallynoggin Senior Centre</w:t>
      </w:r>
      <w:r w:rsidR="003179A0" w:rsidRPr="005845A2">
        <w:rPr>
          <w:rFonts w:ascii="Verdana" w:hAnsi="Verdana" w:cs="Calibri"/>
          <w:sz w:val="20"/>
          <w:szCs w:val="20"/>
          <w:lang w:val="en-IE"/>
        </w:rPr>
        <w:t>.</w:t>
      </w:r>
    </w:p>
    <w:p w:rsidR="00AF4EF9" w:rsidRPr="005845A2" w:rsidRDefault="003179A0" w:rsidP="00AF4EF9">
      <w:pPr>
        <w:jc w:val="both"/>
        <w:rPr>
          <w:rFonts w:ascii="Verdana" w:hAnsi="Verdana"/>
          <w:color w:val="548DD4" w:themeColor="text2" w:themeTint="99"/>
          <w:sz w:val="20"/>
          <w:szCs w:val="20"/>
        </w:rPr>
      </w:pPr>
      <w:r w:rsidRPr="005845A2">
        <w:rPr>
          <w:rFonts w:ascii="Verdana" w:hAnsi="Verdana"/>
          <w:color w:val="000000"/>
          <w:sz w:val="20"/>
          <w:szCs w:val="20"/>
          <w:lang w:val="en-IE"/>
        </w:rPr>
        <w:t xml:space="preserve">On </w:t>
      </w:r>
      <w:r w:rsidR="00AF4EF9" w:rsidRPr="005845A2">
        <w:rPr>
          <w:rFonts w:ascii="Verdana" w:hAnsi="Verdana"/>
          <w:color w:val="000000"/>
          <w:sz w:val="20"/>
          <w:szCs w:val="20"/>
          <w:lang w:val="en-IE"/>
        </w:rPr>
        <w:t>18</w:t>
      </w:r>
      <w:r w:rsidR="00AF4EF9" w:rsidRPr="005845A2">
        <w:rPr>
          <w:rFonts w:ascii="Verdana" w:hAnsi="Verdana"/>
          <w:color w:val="000000"/>
          <w:sz w:val="20"/>
          <w:szCs w:val="20"/>
          <w:vertAlign w:val="superscript"/>
          <w:lang w:val="en-IE"/>
        </w:rPr>
        <w:t>th</w:t>
      </w:r>
      <w:r w:rsidR="00AF4EF9" w:rsidRPr="005845A2">
        <w:rPr>
          <w:rFonts w:ascii="Verdana" w:hAnsi="Verdana"/>
          <w:color w:val="000000"/>
          <w:sz w:val="20"/>
          <w:szCs w:val="20"/>
          <w:lang w:val="en-IE"/>
        </w:rPr>
        <w:t xml:space="preserve"> July 2014 Drainage Services</w:t>
      </w:r>
      <w:r w:rsidR="00FA59DC" w:rsidRPr="005845A2">
        <w:rPr>
          <w:rFonts w:ascii="Verdana" w:hAnsi="Verdana"/>
          <w:color w:val="000000"/>
          <w:sz w:val="20"/>
          <w:szCs w:val="20"/>
          <w:lang w:val="en-IE"/>
        </w:rPr>
        <w:t xml:space="preserve"> sought information on a technical query which has since been clarified and they have no objections</w:t>
      </w:r>
      <w:r w:rsidR="00AF4EF9" w:rsidRPr="005845A2">
        <w:rPr>
          <w:rFonts w:ascii="Verdana" w:hAnsi="Verdana"/>
          <w:sz w:val="20"/>
          <w:szCs w:val="20"/>
        </w:rPr>
        <w:t>.</w:t>
      </w:r>
    </w:p>
    <w:p w:rsidR="000F5913" w:rsidRPr="005845A2" w:rsidRDefault="00E65998" w:rsidP="00F57EDF">
      <w:pPr>
        <w:jc w:val="both"/>
        <w:rPr>
          <w:rFonts w:ascii="Verdana" w:hAnsi="Verdana" w:cs="Verdana"/>
          <w:sz w:val="20"/>
          <w:szCs w:val="20"/>
        </w:rPr>
      </w:pPr>
      <w:r w:rsidRPr="005845A2">
        <w:rPr>
          <w:rFonts w:ascii="Verdana" w:hAnsi="Verdana"/>
          <w:b/>
          <w:bCs/>
          <w:sz w:val="20"/>
          <w:szCs w:val="20"/>
        </w:rPr>
        <w:lastRenderedPageBreak/>
        <w:t>C</w:t>
      </w:r>
      <w:r w:rsidR="00F871B1" w:rsidRPr="005845A2">
        <w:rPr>
          <w:rFonts w:ascii="Verdana" w:hAnsi="Verdana"/>
          <w:b/>
          <w:bCs/>
          <w:sz w:val="20"/>
          <w:szCs w:val="20"/>
        </w:rPr>
        <w:t>orporate Services</w:t>
      </w:r>
      <w:r w:rsidR="000F5913" w:rsidRPr="005845A2">
        <w:rPr>
          <w:rFonts w:ascii="Verdana" w:hAnsi="Verdana"/>
          <w:b/>
          <w:bCs/>
          <w:sz w:val="20"/>
          <w:szCs w:val="20"/>
        </w:rPr>
        <w:t xml:space="preserve"> and Human Resources Department – Property Management Section:  </w:t>
      </w:r>
      <w:r w:rsidR="000F5913" w:rsidRPr="005845A2">
        <w:rPr>
          <w:rFonts w:ascii="Verdana" w:hAnsi="Verdana" w:cs="Verdana"/>
          <w:sz w:val="20"/>
          <w:szCs w:val="20"/>
        </w:rPr>
        <w:t>In correspondence dated</w:t>
      </w:r>
      <w:r w:rsidR="001E1629" w:rsidRPr="005845A2">
        <w:rPr>
          <w:rFonts w:ascii="Verdana" w:hAnsi="Verdana" w:cs="Verdana"/>
          <w:sz w:val="20"/>
          <w:szCs w:val="20"/>
        </w:rPr>
        <w:t xml:space="preserve"> </w:t>
      </w:r>
      <w:r w:rsidR="00AF4EF9" w:rsidRPr="005845A2">
        <w:rPr>
          <w:rFonts w:ascii="Verdana" w:hAnsi="Verdana" w:cs="Verdana"/>
          <w:sz w:val="20"/>
          <w:szCs w:val="20"/>
        </w:rPr>
        <w:t>10</w:t>
      </w:r>
      <w:r w:rsidR="00AF4EF9" w:rsidRPr="005845A2">
        <w:rPr>
          <w:rFonts w:ascii="Verdana" w:hAnsi="Verdana" w:cs="Verdana"/>
          <w:sz w:val="20"/>
          <w:szCs w:val="20"/>
          <w:vertAlign w:val="superscript"/>
        </w:rPr>
        <w:t>th</w:t>
      </w:r>
      <w:r w:rsidR="00AF4EF9" w:rsidRPr="005845A2">
        <w:rPr>
          <w:rFonts w:ascii="Verdana" w:hAnsi="Verdana" w:cs="Verdana"/>
          <w:sz w:val="20"/>
          <w:szCs w:val="20"/>
        </w:rPr>
        <w:t xml:space="preserve"> September 2014</w:t>
      </w:r>
      <w:r w:rsidR="001E1629" w:rsidRPr="005845A2">
        <w:rPr>
          <w:rFonts w:ascii="Verdana" w:hAnsi="Verdana" w:cs="Verdana"/>
          <w:sz w:val="20"/>
          <w:szCs w:val="20"/>
        </w:rPr>
        <w:t xml:space="preserve"> the </w:t>
      </w:r>
      <w:r w:rsidR="00330FC6" w:rsidRPr="005845A2">
        <w:rPr>
          <w:rFonts w:ascii="Verdana" w:hAnsi="Verdana" w:cs="Verdana"/>
          <w:sz w:val="20"/>
          <w:szCs w:val="20"/>
        </w:rPr>
        <w:t>Corporate Services Department</w:t>
      </w:r>
      <w:r w:rsidR="001E1629" w:rsidRPr="005845A2">
        <w:rPr>
          <w:rFonts w:ascii="Verdana" w:hAnsi="Verdana" w:cs="Verdana"/>
          <w:sz w:val="20"/>
          <w:szCs w:val="20"/>
        </w:rPr>
        <w:t xml:space="preserve"> raised no issues </w:t>
      </w:r>
      <w:r w:rsidR="00043651" w:rsidRPr="005845A2">
        <w:rPr>
          <w:rFonts w:ascii="Verdana" w:hAnsi="Verdana" w:cs="Verdana"/>
          <w:sz w:val="20"/>
          <w:szCs w:val="20"/>
        </w:rPr>
        <w:t xml:space="preserve">with </w:t>
      </w:r>
      <w:r w:rsidR="001E1629" w:rsidRPr="005845A2">
        <w:rPr>
          <w:rFonts w:ascii="Verdana" w:hAnsi="Verdana" w:cs="Verdana"/>
          <w:sz w:val="20"/>
          <w:szCs w:val="20"/>
        </w:rPr>
        <w:t>the development.</w:t>
      </w:r>
    </w:p>
    <w:p w:rsidR="00D63ADB" w:rsidRPr="005845A2" w:rsidRDefault="00D63ADB" w:rsidP="00D63ADB">
      <w:pPr>
        <w:jc w:val="both"/>
        <w:rPr>
          <w:rFonts w:ascii="Verdana" w:hAnsi="Verdana"/>
          <w:sz w:val="20"/>
          <w:szCs w:val="20"/>
        </w:rPr>
      </w:pPr>
      <w:r w:rsidRPr="005845A2">
        <w:rPr>
          <w:rFonts w:ascii="Verdana" w:hAnsi="Verdana" w:cs="Verdana"/>
          <w:b/>
          <w:sz w:val="20"/>
          <w:szCs w:val="20"/>
        </w:rPr>
        <w:t xml:space="preserve">Architects Department: </w:t>
      </w:r>
      <w:r w:rsidRPr="005845A2">
        <w:rPr>
          <w:rFonts w:ascii="Verdana" w:hAnsi="Verdana" w:cs="Verdana"/>
          <w:sz w:val="20"/>
          <w:szCs w:val="20"/>
        </w:rPr>
        <w:t xml:space="preserve">In a report dated </w:t>
      </w:r>
      <w:r w:rsidR="005E0F03" w:rsidRPr="005845A2">
        <w:rPr>
          <w:rFonts w:ascii="Verdana" w:hAnsi="Verdana" w:cs="Verdana"/>
          <w:sz w:val="20"/>
          <w:szCs w:val="20"/>
        </w:rPr>
        <w:t>26</w:t>
      </w:r>
      <w:r w:rsidR="005E0F03" w:rsidRPr="005845A2">
        <w:rPr>
          <w:rFonts w:ascii="Verdana" w:hAnsi="Verdana" w:cs="Verdana"/>
          <w:sz w:val="20"/>
          <w:szCs w:val="20"/>
          <w:vertAlign w:val="superscript"/>
        </w:rPr>
        <w:t>th</w:t>
      </w:r>
      <w:r w:rsidR="005E0F03" w:rsidRPr="005845A2">
        <w:rPr>
          <w:rFonts w:ascii="Verdana" w:hAnsi="Verdana" w:cs="Verdana"/>
          <w:sz w:val="20"/>
          <w:szCs w:val="20"/>
        </w:rPr>
        <w:t xml:space="preserve"> May</w:t>
      </w:r>
      <w:r w:rsidR="00AF4EF9" w:rsidRPr="005845A2">
        <w:rPr>
          <w:rFonts w:ascii="Verdana" w:hAnsi="Verdana" w:cs="Verdana"/>
          <w:sz w:val="20"/>
          <w:szCs w:val="20"/>
        </w:rPr>
        <w:t xml:space="preserve"> 2014</w:t>
      </w:r>
      <w:r w:rsidRPr="005845A2">
        <w:rPr>
          <w:rFonts w:ascii="Verdana" w:hAnsi="Verdana" w:cs="Verdana"/>
          <w:sz w:val="20"/>
          <w:szCs w:val="20"/>
        </w:rPr>
        <w:t xml:space="preserve"> the A</w:t>
      </w:r>
      <w:r w:rsidR="00401FEB" w:rsidRPr="005845A2">
        <w:rPr>
          <w:rFonts w:ascii="Verdana" w:hAnsi="Verdana" w:cs="Verdana"/>
          <w:sz w:val="20"/>
          <w:szCs w:val="20"/>
        </w:rPr>
        <w:t xml:space="preserve">rchitects Department commented </w:t>
      </w:r>
      <w:r w:rsidRPr="005845A2">
        <w:rPr>
          <w:rFonts w:ascii="Verdana" w:hAnsi="Verdana" w:cs="Verdana"/>
          <w:sz w:val="20"/>
          <w:szCs w:val="20"/>
        </w:rPr>
        <w:t>t</w:t>
      </w:r>
      <w:r w:rsidRPr="005845A2">
        <w:rPr>
          <w:rFonts w:ascii="Verdana" w:hAnsi="Verdana"/>
          <w:sz w:val="20"/>
          <w:szCs w:val="20"/>
        </w:rPr>
        <w:t xml:space="preserve">he </w:t>
      </w:r>
      <w:r w:rsidR="00AF4EF9" w:rsidRPr="005845A2">
        <w:rPr>
          <w:rFonts w:ascii="Verdana" w:hAnsi="Verdana"/>
          <w:sz w:val="20"/>
          <w:szCs w:val="20"/>
        </w:rPr>
        <w:t xml:space="preserve">proposed </w:t>
      </w:r>
      <w:r w:rsidR="00401FEB" w:rsidRPr="005845A2">
        <w:rPr>
          <w:rFonts w:ascii="Verdana" w:hAnsi="Verdana"/>
          <w:sz w:val="20"/>
          <w:szCs w:val="20"/>
        </w:rPr>
        <w:t>development will add to the visual and recreational amenity of this area and will provide high quality facilities on the previously removed Senior Citizen Centre.</w:t>
      </w:r>
    </w:p>
    <w:p w:rsidR="00843933" w:rsidRPr="005845A2" w:rsidRDefault="00194063" w:rsidP="005F38F3">
      <w:pPr>
        <w:jc w:val="both"/>
        <w:rPr>
          <w:rFonts w:ascii="Verdana" w:hAnsi="Verdana"/>
          <w:sz w:val="18"/>
          <w:szCs w:val="18"/>
        </w:rPr>
      </w:pPr>
      <w:r w:rsidRPr="005845A2">
        <w:rPr>
          <w:rFonts w:ascii="Verdana" w:hAnsi="Verdana" w:cs="Arial"/>
          <w:b/>
          <w:sz w:val="20"/>
          <w:szCs w:val="20"/>
          <w:lang w:val="en-IE" w:eastAsia="en-GB"/>
        </w:rPr>
        <w:t xml:space="preserve">Environment </w:t>
      </w:r>
      <w:r w:rsidR="004C5DCB" w:rsidRPr="005845A2">
        <w:rPr>
          <w:rFonts w:ascii="Verdana" w:hAnsi="Verdana" w:cs="Arial"/>
          <w:b/>
          <w:sz w:val="20"/>
          <w:szCs w:val="20"/>
          <w:lang w:val="en-IE" w:eastAsia="en-GB"/>
        </w:rPr>
        <w:t>Department</w:t>
      </w:r>
      <w:r w:rsidRPr="005845A2">
        <w:rPr>
          <w:rFonts w:ascii="Verdana" w:hAnsi="Verdana" w:cs="Arial"/>
          <w:b/>
          <w:sz w:val="20"/>
          <w:szCs w:val="20"/>
          <w:lang w:val="en-IE" w:eastAsia="en-GB"/>
        </w:rPr>
        <w:t xml:space="preserve"> – Parks Section</w:t>
      </w:r>
      <w:r w:rsidR="004C5DCB" w:rsidRPr="005845A2">
        <w:rPr>
          <w:rFonts w:ascii="Verdana" w:hAnsi="Verdana" w:cs="Arial"/>
          <w:b/>
          <w:sz w:val="20"/>
          <w:szCs w:val="20"/>
          <w:lang w:val="en-IE" w:eastAsia="en-GB"/>
        </w:rPr>
        <w:t xml:space="preserve">: </w:t>
      </w:r>
      <w:r w:rsidR="004C5DCB" w:rsidRPr="005845A2">
        <w:rPr>
          <w:rFonts w:ascii="Verdana" w:hAnsi="Verdana" w:cs="Arial"/>
          <w:sz w:val="20"/>
          <w:szCs w:val="20"/>
          <w:lang w:val="en-IE" w:eastAsia="en-GB"/>
        </w:rPr>
        <w:t xml:space="preserve">In a report dated </w:t>
      </w:r>
      <w:r w:rsidR="00AF4EF9" w:rsidRPr="005845A2">
        <w:rPr>
          <w:rFonts w:ascii="Verdana" w:hAnsi="Verdana" w:cs="Arial"/>
          <w:sz w:val="20"/>
          <w:szCs w:val="20"/>
          <w:lang w:val="en-IE" w:eastAsia="en-GB"/>
        </w:rPr>
        <w:t>8</w:t>
      </w:r>
      <w:r w:rsidR="00AF4EF9" w:rsidRPr="005845A2">
        <w:rPr>
          <w:rFonts w:ascii="Verdana" w:hAnsi="Verdana" w:cs="Arial"/>
          <w:sz w:val="20"/>
          <w:szCs w:val="20"/>
          <w:vertAlign w:val="superscript"/>
          <w:lang w:val="en-IE" w:eastAsia="en-GB"/>
        </w:rPr>
        <w:t>th</w:t>
      </w:r>
      <w:r w:rsidR="00AF4EF9" w:rsidRPr="005845A2">
        <w:rPr>
          <w:rFonts w:ascii="Verdana" w:hAnsi="Verdana" w:cs="Arial"/>
          <w:sz w:val="20"/>
          <w:szCs w:val="20"/>
          <w:lang w:val="en-IE" w:eastAsia="en-GB"/>
        </w:rPr>
        <w:t xml:space="preserve"> July 2014</w:t>
      </w:r>
      <w:r w:rsidR="004C5DCB" w:rsidRPr="005845A2">
        <w:rPr>
          <w:rFonts w:ascii="Verdana" w:hAnsi="Verdana" w:cs="Arial"/>
          <w:sz w:val="20"/>
          <w:szCs w:val="20"/>
          <w:lang w:val="en-IE" w:eastAsia="en-GB"/>
        </w:rPr>
        <w:t xml:space="preserve"> the </w:t>
      </w:r>
      <w:r w:rsidR="00843933" w:rsidRPr="005845A2">
        <w:rPr>
          <w:rFonts w:ascii="Verdana" w:hAnsi="Verdana" w:cs="Arial"/>
          <w:sz w:val="20"/>
          <w:szCs w:val="20"/>
          <w:lang w:val="en-IE" w:eastAsia="en-GB"/>
        </w:rPr>
        <w:t xml:space="preserve">Parks Department </w:t>
      </w:r>
      <w:r w:rsidR="00843933" w:rsidRPr="005845A2">
        <w:rPr>
          <w:rFonts w:ascii="Verdana" w:hAnsi="Verdana"/>
          <w:sz w:val="20"/>
          <w:szCs w:val="20"/>
        </w:rPr>
        <w:t>advised that they had no objection to this development</w:t>
      </w:r>
      <w:r w:rsidR="00AF4EF9" w:rsidRPr="005845A2">
        <w:rPr>
          <w:rFonts w:ascii="Verdana" w:hAnsi="Verdana"/>
          <w:sz w:val="20"/>
          <w:szCs w:val="20"/>
        </w:rPr>
        <w:t>.</w:t>
      </w:r>
    </w:p>
    <w:p w:rsidR="00C948B6" w:rsidRPr="005845A2" w:rsidRDefault="00401FEB" w:rsidP="005F38F3">
      <w:pPr>
        <w:jc w:val="both"/>
        <w:rPr>
          <w:rFonts w:ascii="Verdana" w:hAnsi="Verdana"/>
          <w:sz w:val="20"/>
          <w:szCs w:val="20"/>
        </w:rPr>
      </w:pPr>
      <w:r w:rsidRPr="005845A2">
        <w:rPr>
          <w:rFonts w:ascii="Verdana" w:hAnsi="Verdana"/>
          <w:b/>
          <w:sz w:val="20"/>
          <w:szCs w:val="20"/>
        </w:rPr>
        <w:t xml:space="preserve">Planning </w:t>
      </w:r>
      <w:r w:rsidR="00C948B6" w:rsidRPr="005845A2">
        <w:rPr>
          <w:rFonts w:ascii="Verdana" w:hAnsi="Verdana"/>
          <w:b/>
          <w:sz w:val="20"/>
          <w:szCs w:val="20"/>
        </w:rPr>
        <w:t>and Organisational Innovation</w:t>
      </w:r>
      <w:r w:rsidR="00FA59DC" w:rsidRPr="005845A2">
        <w:rPr>
          <w:rFonts w:ascii="Verdana" w:hAnsi="Verdana"/>
          <w:b/>
          <w:sz w:val="20"/>
          <w:szCs w:val="20"/>
        </w:rPr>
        <w:t xml:space="preserve"> </w:t>
      </w:r>
      <w:r w:rsidR="00C948B6" w:rsidRPr="005845A2">
        <w:rPr>
          <w:rFonts w:ascii="Verdana" w:hAnsi="Verdana"/>
          <w:b/>
          <w:sz w:val="20"/>
          <w:szCs w:val="20"/>
        </w:rPr>
        <w:t>-</w:t>
      </w:r>
      <w:r w:rsidR="00FA59DC" w:rsidRPr="005845A2">
        <w:rPr>
          <w:rFonts w:ascii="Verdana" w:hAnsi="Verdana"/>
          <w:b/>
          <w:sz w:val="20"/>
          <w:szCs w:val="20"/>
        </w:rPr>
        <w:t xml:space="preserve"> </w:t>
      </w:r>
      <w:r w:rsidR="00C948B6" w:rsidRPr="005845A2">
        <w:rPr>
          <w:rFonts w:ascii="Verdana" w:hAnsi="Verdana"/>
          <w:b/>
          <w:sz w:val="20"/>
          <w:szCs w:val="20"/>
        </w:rPr>
        <w:t>Planning Department</w:t>
      </w:r>
      <w:r w:rsidRPr="005845A2">
        <w:rPr>
          <w:rFonts w:ascii="Verdana" w:hAnsi="Verdana"/>
          <w:sz w:val="20"/>
          <w:szCs w:val="20"/>
        </w:rPr>
        <w:t>:</w:t>
      </w:r>
      <w:r w:rsidR="00C948B6" w:rsidRPr="005845A2">
        <w:rPr>
          <w:rFonts w:ascii="Verdana" w:hAnsi="Verdana"/>
          <w:sz w:val="20"/>
          <w:szCs w:val="20"/>
        </w:rPr>
        <w:t xml:space="preserve"> </w:t>
      </w:r>
      <w:r w:rsidRPr="005845A2">
        <w:rPr>
          <w:rFonts w:ascii="Verdana" w:hAnsi="Verdana"/>
          <w:sz w:val="20"/>
          <w:szCs w:val="20"/>
        </w:rPr>
        <w:t>In a report dated 9</w:t>
      </w:r>
      <w:r w:rsidRPr="005845A2">
        <w:rPr>
          <w:rFonts w:ascii="Verdana" w:hAnsi="Verdana"/>
          <w:sz w:val="20"/>
          <w:szCs w:val="20"/>
          <w:vertAlign w:val="superscript"/>
        </w:rPr>
        <w:t>th</w:t>
      </w:r>
      <w:r w:rsidRPr="005845A2">
        <w:rPr>
          <w:rFonts w:ascii="Verdana" w:hAnsi="Verdana"/>
          <w:sz w:val="20"/>
          <w:szCs w:val="20"/>
        </w:rPr>
        <w:t xml:space="preserve"> September 2015 the Planning Department commented that the proposed Centre </w:t>
      </w:r>
      <w:r w:rsidR="00C948B6" w:rsidRPr="005845A2">
        <w:rPr>
          <w:rFonts w:ascii="Verdana" w:hAnsi="Verdana"/>
          <w:sz w:val="20"/>
          <w:szCs w:val="20"/>
        </w:rPr>
        <w:t>would</w:t>
      </w:r>
      <w:r w:rsidRPr="005845A2">
        <w:rPr>
          <w:rFonts w:ascii="Verdana" w:hAnsi="Verdana"/>
          <w:sz w:val="20"/>
          <w:szCs w:val="20"/>
        </w:rPr>
        <w:t xml:space="preserve"> not have a negative impact on the residential amenities of the area and is in accordance with the proper planning and sustainable </w:t>
      </w:r>
      <w:r w:rsidR="00C948B6" w:rsidRPr="005845A2">
        <w:rPr>
          <w:rFonts w:ascii="Verdana" w:hAnsi="Verdana"/>
          <w:sz w:val="20"/>
          <w:szCs w:val="20"/>
        </w:rPr>
        <w:t>development</w:t>
      </w:r>
      <w:r w:rsidRPr="005845A2">
        <w:rPr>
          <w:rFonts w:ascii="Verdana" w:hAnsi="Verdana"/>
          <w:sz w:val="20"/>
          <w:szCs w:val="20"/>
        </w:rPr>
        <w:t xml:space="preserve"> of the area. </w:t>
      </w:r>
    </w:p>
    <w:p w:rsidR="00401FEB" w:rsidRPr="005845A2" w:rsidRDefault="00C948B6" w:rsidP="005F38F3">
      <w:pPr>
        <w:jc w:val="both"/>
        <w:rPr>
          <w:rFonts w:ascii="Verdana" w:hAnsi="Verdana"/>
          <w:sz w:val="20"/>
          <w:szCs w:val="20"/>
        </w:rPr>
      </w:pPr>
      <w:r w:rsidRPr="005845A2">
        <w:rPr>
          <w:rFonts w:ascii="Verdana" w:hAnsi="Verdana"/>
          <w:sz w:val="20"/>
          <w:szCs w:val="20"/>
        </w:rPr>
        <w:t>It is considered that the proposed development can proceed to the Statutory Process in accordance with Part 8, Article 81 of the Planning and Development Regulations, 2001 (as amended).</w:t>
      </w:r>
    </w:p>
    <w:p w:rsidR="00AF7D26" w:rsidRPr="005845A2" w:rsidRDefault="007A3C3E" w:rsidP="00424595">
      <w:pPr>
        <w:pStyle w:val="Heading1"/>
        <w:rPr>
          <w:rFonts w:ascii="Verdana" w:hAnsi="Verdana"/>
        </w:rPr>
      </w:pPr>
      <w:r w:rsidRPr="005845A2">
        <w:rPr>
          <w:rFonts w:ascii="Verdana" w:hAnsi="Verdana"/>
        </w:rPr>
        <w:t>8</w:t>
      </w:r>
      <w:r w:rsidR="00424595" w:rsidRPr="005845A2">
        <w:rPr>
          <w:rFonts w:ascii="Verdana" w:hAnsi="Verdana"/>
        </w:rPr>
        <w:t>.</w:t>
      </w:r>
      <w:r w:rsidR="00424595" w:rsidRPr="005845A2">
        <w:rPr>
          <w:rFonts w:ascii="Verdana" w:hAnsi="Verdana"/>
        </w:rPr>
        <w:tab/>
      </w:r>
      <w:r w:rsidR="00AF7D26" w:rsidRPr="005845A2">
        <w:rPr>
          <w:rFonts w:ascii="Verdana" w:hAnsi="Verdana"/>
        </w:rPr>
        <w:t>STATUTORY BODIES/ORGANISATIONS:</w:t>
      </w:r>
    </w:p>
    <w:p w:rsidR="004211A2" w:rsidRPr="005845A2" w:rsidRDefault="003E1DC3" w:rsidP="00DB0E78">
      <w:pPr>
        <w:rPr>
          <w:rFonts w:ascii="Verdana" w:hAnsi="Verdana"/>
          <w:sz w:val="20"/>
          <w:szCs w:val="20"/>
        </w:rPr>
      </w:pPr>
      <w:r w:rsidRPr="005845A2">
        <w:rPr>
          <w:rFonts w:ascii="Verdana" w:hAnsi="Verdana"/>
          <w:sz w:val="20"/>
          <w:szCs w:val="20"/>
        </w:rPr>
        <w:t>There were no submissions from the prescribed bodies:- National Transport Agency, Development Unit, Department of Arts, Heritage &amp; the Gaeltacht.</w:t>
      </w:r>
    </w:p>
    <w:p w:rsidR="00424595" w:rsidRPr="005845A2" w:rsidRDefault="007A3C3E" w:rsidP="00424595">
      <w:pPr>
        <w:pStyle w:val="Heading1"/>
        <w:rPr>
          <w:rFonts w:ascii="Verdana" w:hAnsi="Verdana"/>
        </w:rPr>
      </w:pPr>
      <w:r w:rsidRPr="005845A2">
        <w:rPr>
          <w:rFonts w:ascii="Verdana" w:hAnsi="Verdana"/>
        </w:rPr>
        <w:t>9</w:t>
      </w:r>
      <w:r w:rsidR="00424595" w:rsidRPr="005845A2">
        <w:rPr>
          <w:rFonts w:ascii="Verdana" w:hAnsi="Verdana"/>
        </w:rPr>
        <w:t>.</w:t>
      </w:r>
      <w:r w:rsidR="00424595" w:rsidRPr="005845A2">
        <w:rPr>
          <w:rFonts w:ascii="Verdana" w:hAnsi="Verdana"/>
        </w:rPr>
        <w:tab/>
        <w:t>SUBMISSIONS/OBSERVATIONS</w:t>
      </w:r>
    </w:p>
    <w:p w:rsidR="00424595" w:rsidRPr="005845A2" w:rsidRDefault="007A3C3E" w:rsidP="00424595">
      <w:pPr>
        <w:pStyle w:val="Heading2"/>
        <w:rPr>
          <w:rFonts w:ascii="Verdana" w:hAnsi="Verdana"/>
        </w:rPr>
      </w:pPr>
      <w:r w:rsidRPr="005845A2">
        <w:rPr>
          <w:rFonts w:ascii="Verdana" w:hAnsi="Verdana"/>
        </w:rPr>
        <w:t>9</w:t>
      </w:r>
      <w:r w:rsidR="00424595" w:rsidRPr="005845A2">
        <w:rPr>
          <w:rFonts w:ascii="Verdana" w:hAnsi="Verdana"/>
        </w:rPr>
        <w:t>.1.</w:t>
      </w:r>
      <w:r w:rsidR="00424595" w:rsidRPr="005845A2">
        <w:rPr>
          <w:rFonts w:ascii="Verdana" w:hAnsi="Verdana"/>
        </w:rPr>
        <w:tab/>
        <w:t>Submissions</w:t>
      </w:r>
    </w:p>
    <w:p w:rsidR="00125903" w:rsidRPr="005845A2" w:rsidRDefault="00DB0E78" w:rsidP="005F38F3">
      <w:pPr>
        <w:jc w:val="both"/>
        <w:rPr>
          <w:rFonts w:ascii="Verdana" w:hAnsi="Verdana"/>
          <w:sz w:val="20"/>
          <w:szCs w:val="20"/>
        </w:rPr>
      </w:pPr>
      <w:r w:rsidRPr="005845A2">
        <w:rPr>
          <w:rFonts w:ascii="Verdana" w:hAnsi="Verdana"/>
          <w:sz w:val="20"/>
          <w:szCs w:val="20"/>
        </w:rPr>
        <w:t>In accordance with Part 8, Article 81 of the Planning and Development Regulations, 2001</w:t>
      </w:r>
      <w:r w:rsidR="00125903" w:rsidRPr="005845A2">
        <w:rPr>
          <w:rFonts w:ascii="Verdana" w:hAnsi="Verdana"/>
          <w:sz w:val="20"/>
          <w:szCs w:val="20"/>
        </w:rPr>
        <w:t xml:space="preserve">, as amended, the Council gave notice of the proposed development in the Irish Independent on </w:t>
      </w:r>
      <w:r w:rsidR="00F57D19" w:rsidRPr="005845A2">
        <w:rPr>
          <w:rFonts w:ascii="Verdana" w:hAnsi="Verdana"/>
          <w:sz w:val="20"/>
          <w:szCs w:val="20"/>
        </w:rPr>
        <w:t>Thursday 10</w:t>
      </w:r>
      <w:r w:rsidR="00F57D19" w:rsidRPr="005845A2">
        <w:rPr>
          <w:rFonts w:ascii="Verdana" w:hAnsi="Verdana"/>
          <w:sz w:val="20"/>
          <w:szCs w:val="20"/>
          <w:vertAlign w:val="superscript"/>
        </w:rPr>
        <w:t>th</w:t>
      </w:r>
      <w:r w:rsidR="00F57D19" w:rsidRPr="005845A2">
        <w:rPr>
          <w:rFonts w:ascii="Verdana" w:hAnsi="Verdana"/>
          <w:sz w:val="20"/>
          <w:szCs w:val="20"/>
        </w:rPr>
        <w:t xml:space="preserve"> September</w:t>
      </w:r>
      <w:r w:rsidR="00125903" w:rsidRPr="005845A2">
        <w:rPr>
          <w:rFonts w:ascii="Verdana" w:hAnsi="Verdana"/>
          <w:sz w:val="20"/>
          <w:szCs w:val="20"/>
        </w:rPr>
        <w:t xml:space="preserve"> 2015 indicating that submissions would be accepted up to and including Thursday</w:t>
      </w:r>
      <w:r w:rsidR="00F57D19" w:rsidRPr="005845A2">
        <w:rPr>
          <w:rFonts w:ascii="Verdana" w:hAnsi="Verdana"/>
          <w:sz w:val="20"/>
          <w:szCs w:val="20"/>
        </w:rPr>
        <w:t xml:space="preserve"> 5</w:t>
      </w:r>
      <w:r w:rsidR="00F57D19" w:rsidRPr="005845A2">
        <w:rPr>
          <w:rFonts w:ascii="Verdana" w:hAnsi="Verdana"/>
          <w:sz w:val="20"/>
          <w:szCs w:val="20"/>
          <w:vertAlign w:val="superscript"/>
        </w:rPr>
        <w:t>th</w:t>
      </w:r>
      <w:r w:rsidR="00F57D19" w:rsidRPr="005845A2">
        <w:rPr>
          <w:rFonts w:ascii="Verdana" w:hAnsi="Verdana"/>
          <w:sz w:val="20"/>
          <w:szCs w:val="20"/>
        </w:rPr>
        <w:t xml:space="preserve"> November</w:t>
      </w:r>
      <w:r w:rsidR="00125903" w:rsidRPr="005845A2">
        <w:rPr>
          <w:rFonts w:ascii="Verdana" w:hAnsi="Verdana"/>
          <w:sz w:val="20"/>
          <w:szCs w:val="20"/>
        </w:rPr>
        <w:t xml:space="preserve"> 2015.</w:t>
      </w:r>
    </w:p>
    <w:p w:rsidR="00A96E54" w:rsidRPr="005845A2" w:rsidRDefault="00125903" w:rsidP="005F38F3">
      <w:pPr>
        <w:jc w:val="both"/>
        <w:rPr>
          <w:rFonts w:ascii="Verdana" w:hAnsi="Verdana"/>
          <w:sz w:val="20"/>
          <w:szCs w:val="20"/>
        </w:rPr>
      </w:pPr>
      <w:r w:rsidRPr="005845A2">
        <w:rPr>
          <w:rFonts w:ascii="Verdana" w:hAnsi="Verdana"/>
          <w:sz w:val="20"/>
          <w:szCs w:val="20"/>
        </w:rPr>
        <w:t xml:space="preserve">A site notice (in the prescribed format) was also erected on the site and maintained in place for the prescribed period.  </w:t>
      </w:r>
      <w:r w:rsidR="00F57D19" w:rsidRPr="005845A2">
        <w:rPr>
          <w:rFonts w:ascii="Verdana" w:hAnsi="Verdana"/>
          <w:sz w:val="20"/>
          <w:szCs w:val="20"/>
        </w:rPr>
        <w:t>Three submissions were</w:t>
      </w:r>
      <w:r w:rsidRPr="005845A2">
        <w:rPr>
          <w:rFonts w:ascii="Verdana" w:hAnsi="Verdana"/>
          <w:sz w:val="20"/>
          <w:szCs w:val="20"/>
        </w:rPr>
        <w:t xml:space="preserve"> received within the stipulated time period </w:t>
      </w:r>
      <w:r w:rsidR="009F32F5" w:rsidRPr="005845A2">
        <w:rPr>
          <w:rFonts w:ascii="Verdana" w:hAnsi="Verdana"/>
          <w:sz w:val="20"/>
          <w:szCs w:val="20"/>
        </w:rPr>
        <w:t xml:space="preserve">and are listed </w:t>
      </w:r>
      <w:r w:rsidR="00A96E54" w:rsidRPr="005845A2">
        <w:rPr>
          <w:rFonts w:ascii="Verdana" w:hAnsi="Verdana"/>
          <w:sz w:val="20"/>
          <w:szCs w:val="20"/>
        </w:rPr>
        <w:t>as follows:</w:t>
      </w:r>
    </w:p>
    <w:p w:rsidR="00DB0E78" w:rsidRPr="005845A2" w:rsidRDefault="00634EFB" w:rsidP="000E6375">
      <w:pPr>
        <w:pStyle w:val="Heading2"/>
        <w:rPr>
          <w:rFonts w:ascii="Verdana" w:hAnsi="Verdana"/>
        </w:rPr>
      </w:pPr>
      <w:r w:rsidRPr="005845A2">
        <w:rPr>
          <w:rFonts w:ascii="Verdana" w:hAnsi="Verdana"/>
        </w:rPr>
        <w:t xml:space="preserve">9.2 </w:t>
      </w:r>
      <w:r w:rsidR="00125903" w:rsidRPr="005845A2">
        <w:rPr>
          <w:rFonts w:ascii="Verdana" w:hAnsi="Verdana"/>
        </w:rPr>
        <w:t>TABLE A: L</w:t>
      </w:r>
      <w:r w:rsidR="000E6375" w:rsidRPr="005845A2">
        <w:rPr>
          <w:rFonts w:ascii="Verdana" w:hAnsi="Verdana"/>
        </w:rPr>
        <w:t>ist of persons/bodies who made submissions</w:t>
      </w:r>
    </w:p>
    <w:p w:rsidR="00533B23" w:rsidRPr="005845A2" w:rsidRDefault="00533B23" w:rsidP="00533B23">
      <w:pPr>
        <w:rPr>
          <w:rFonts w:ascii="Verdana" w:hAnsi="Verdana"/>
          <w:sz w:val="20"/>
          <w:szCs w:val="20"/>
        </w:rPr>
      </w:pPr>
    </w:p>
    <w:tbl>
      <w:tblPr>
        <w:tblW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44"/>
      </w:tblGrid>
      <w:tr w:rsidR="00F57D19" w:rsidRPr="005845A2" w:rsidTr="00F57D19">
        <w:tc>
          <w:tcPr>
            <w:tcW w:w="636"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No.</w:t>
            </w:r>
          </w:p>
        </w:tc>
        <w:tc>
          <w:tcPr>
            <w:tcW w:w="3244"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Name</w:t>
            </w:r>
          </w:p>
        </w:tc>
      </w:tr>
      <w:tr w:rsidR="00F57D19" w:rsidRPr="005845A2" w:rsidTr="00F57D19">
        <w:tc>
          <w:tcPr>
            <w:tcW w:w="636"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1.</w:t>
            </w:r>
          </w:p>
        </w:tc>
        <w:tc>
          <w:tcPr>
            <w:tcW w:w="3244"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Ann Carter</w:t>
            </w:r>
          </w:p>
        </w:tc>
      </w:tr>
      <w:tr w:rsidR="00F57D19" w:rsidRPr="005845A2" w:rsidTr="00F57D19">
        <w:tc>
          <w:tcPr>
            <w:tcW w:w="636"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2.</w:t>
            </w:r>
          </w:p>
        </w:tc>
        <w:tc>
          <w:tcPr>
            <w:tcW w:w="3244"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Gabrielle O’Kelly</w:t>
            </w:r>
          </w:p>
        </w:tc>
      </w:tr>
      <w:tr w:rsidR="00F57D19" w:rsidRPr="005845A2" w:rsidTr="00F57D19">
        <w:tc>
          <w:tcPr>
            <w:tcW w:w="636"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3.</w:t>
            </w:r>
          </w:p>
        </w:tc>
        <w:tc>
          <w:tcPr>
            <w:tcW w:w="3244" w:type="dxa"/>
            <w:shd w:val="clear" w:color="auto" w:fill="auto"/>
          </w:tcPr>
          <w:p w:rsidR="00F57D19" w:rsidRPr="005845A2" w:rsidRDefault="00F57D19" w:rsidP="0076018F">
            <w:pPr>
              <w:rPr>
                <w:rFonts w:ascii="Verdana" w:hAnsi="Verdana"/>
                <w:b/>
                <w:sz w:val="20"/>
                <w:szCs w:val="20"/>
              </w:rPr>
            </w:pPr>
            <w:r w:rsidRPr="005845A2">
              <w:rPr>
                <w:rFonts w:ascii="Verdana" w:hAnsi="Verdana"/>
                <w:b/>
                <w:sz w:val="20"/>
                <w:szCs w:val="20"/>
              </w:rPr>
              <w:t>Anonymous</w:t>
            </w:r>
          </w:p>
        </w:tc>
      </w:tr>
    </w:tbl>
    <w:p w:rsidR="00533B23" w:rsidRPr="005845A2" w:rsidRDefault="00533B23" w:rsidP="00533B23">
      <w:pPr>
        <w:rPr>
          <w:rFonts w:ascii="Verdana" w:hAnsi="Verdana"/>
          <w:sz w:val="20"/>
          <w:szCs w:val="20"/>
        </w:rPr>
      </w:pPr>
    </w:p>
    <w:p w:rsidR="00634EFB" w:rsidRPr="005845A2" w:rsidRDefault="000E6375" w:rsidP="005845A2">
      <w:pPr>
        <w:pStyle w:val="Heading2"/>
        <w:rPr>
          <w:rFonts w:ascii="Verdana" w:hAnsi="Verdana"/>
        </w:rPr>
      </w:pPr>
      <w:r w:rsidRPr="005845A2">
        <w:rPr>
          <w:rFonts w:ascii="Verdana" w:hAnsi="Verdana"/>
        </w:rPr>
        <w:lastRenderedPageBreak/>
        <w:t xml:space="preserve">9.3 </w:t>
      </w:r>
      <w:r w:rsidR="00634EFB" w:rsidRPr="005845A2">
        <w:rPr>
          <w:rFonts w:ascii="Verdana" w:hAnsi="Verdana"/>
        </w:rPr>
        <w:t>Summ</w:t>
      </w:r>
      <w:r w:rsidR="005845A2">
        <w:rPr>
          <w:rFonts w:ascii="Verdana" w:hAnsi="Verdana"/>
        </w:rPr>
        <w:t>ary of the issues raised in the s</w:t>
      </w:r>
      <w:r w:rsidR="00634EFB" w:rsidRPr="005845A2">
        <w:rPr>
          <w:rFonts w:ascii="Verdana" w:hAnsi="Verdana"/>
        </w:rPr>
        <w:t>ubmissions/observations received</w:t>
      </w:r>
    </w:p>
    <w:p w:rsidR="000E6375" w:rsidRPr="005845A2" w:rsidRDefault="002B37E9" w:rsidP="005F38F3">
      <w:pPr>
        <w:jc w:val="both"/>
        <w:rPr>
          <w:rFonts w:ascii="Verdana" w:hAnsi="Verdana"/>
          <w:sz w:val="20"/>
          <w:szCs w:val="20"/>
        </w:rPr>
      </w:pPr>
      <w:r w:rsidRPr="005845A2">
        <w:rPr>
          <w:rFonts w:ascii="Verdana" w:hAnsi="Verdana"/>
          <w:sz w:val="20"/>
          <w:szCs w:val="20"/>
        </w:rPr>
        <w:t>There was support for the development</w:t>
      </w:r>
      <w:r w:rsidR="00044030" w:rsidRPr="005845A2">
        <w:rPr>
          <w:rFonts w:ascii="Verdana" w:hAnsi="Verdana"/>
          <w:sz w:val="20"/>
          <w:szCs w:val="20"/>
        </w:rPr>
        <w:t>,</w:t>
      </w:r>
      <w:r w:rsidRPr="005845A2">
        <w:rPr>
          <w:rFonts w:ascii="Verdana" w:hAnsi="Verdana"/>
          <w:sz w:val="20"/>
          <w:szCs w:val="20"/>
        </w:rPr>
        <w:t xml:space="preserve"> however, some issues in relation to the proposal were raised. </w:t>
      </w:r>
      <w:r w:rsidR="000E6375" w:rsidRPr="005845A2">
        <w:rPr>
          <w:rFonts w:ascii="Verdana" w:hAnsi="Verdana"/>
          <w:sz w:val="20"/>
          <w:szCs w:val="20"/>
        </w:rPr>
        <w:t xml:space="preserve">The submissions </w:t>
      </w:r>
      <w:r w:rsidR="00A96E54" w:rsidRPr="005845A2">
        <w:rPr>
          <w:rFonts w:ascii="Verdana" w:hAnsi="Verdana"/>
          <w:sz w:val="20"/>
          <w:szCs w:val="20"/>
        </w:rPr>
        <w:t xml:space="preserve">(and the detail pertinent to the respective submissions) </w:t>
      </w:r>
      <w:r w:rsidR="000E6375" w:rsidRPr="005845A2">
        <w:rPr>
          <w:rFonts w:ascii="Verdana" w:hAnsi="Verdana"/>
          <w:sz w:val="20"/>
          <w:szCs w:val="20"/>
        </w:rPr>
        <w:t>are duly noted</w:t>
      </w:r>
      <w:r w:rsidR="00A96E54" w:rsidRPr="005845A2">
        <w:rPr>
          <w:rFonts w:ascii="Verdana" w:hAnsi="Verdana"/>
          <w:sz w:val="20"/>
          <w:szCs w:val="20"/>
        </w:rPr>
        <w:t xml:space="preserve">, </w:t>
      </w:r>
      <w:r w:rsidR="000E6375" w:rsidRPr="005845A2">
        <w:rPr>
          <w:rFonts w:ascii="Verdana" w:hAnsi="Verdana"/>
          <w:sz w:val="20"/>
          <w:szCs w:val="20"/>
        </w:rPr>
        <w:t xml:space="preserve">and have been assessed accordingly.  The </w:t>
      </w:r>
      <w:r w:rsidR="0098036B" w:rsidRPr="005845A2">
        <w:rPr>
          <w:rFonts w:ascii="Verdana" w:hAnsi="Verdana"/>
          <w:sz w:val="20"/>
          <w:szCs w:val="20"/>
        </w:rPr>
        <w:t xml:space="preserve">pertinent </w:t>
      </w:r>
      <w:r w:rsidR="000E6375" w:rsidRPr="005845A2">
        <w:rPr>
          <w:rFonts w:ascii="Verdana" w:hAnsi="Verdana"/>
          <w:sz w:val="20"/>
          <w:szCs w:val="20"/>
        </w:rPr>
        <w:t xml:space="preserve">issues raised </w:t>
      </w:r>
      <w:r w:rsidR="00A96E54" w:rsidRPr="005845A2">
        <w:rPr>
          <w:rFonts w:ascii="Verdana" w:hAnsi="Verdana"/>
          <w:sz w:val="20"/>
          <w:szCs w:val="20"/>
        </w:rPr>
        <w:t xml:space="preserve">and the Chief Executive’s responses </w:t>
      </w:r>
      <w:r w:rsidR="00A02DC6" w:rsidRPr="005845A2">
        <w:rPr>
          <w:rFonts w:ascii="Verdana" w:hAnsi="Verdana"/>
          <w:sz w:val="20"/>
          <w:szCs w:val="20"/>
        </w:rPr>
        <w:t>a</w:t>
      </w:r>
      <w:r w:rsidR="000E6375" w:rsidRPr="005845A2">
        <w:rPr>
          <w:rFonts w:ascii="Verdana" w:hAnsi="Verdana"/>
          <w:sz w:val="20"/>
          <w:szCs w:val="20"/>
        </w:rPr>
        <w:t>re</w:t>
      </w:r>
      <w:r w:rsidR="00A02DC6" w:rsidRPr="005845A2">
        <w:rPr>
          <w:rFonts w:ascii="Verdana" w:hAnsi="Verdana"/>
          <w:sz w:val="20"/>
          <w:szCs w:val="20"/>
        </w:rPr>
        <w:t xml:space="preserve"> summarised as follows</w:t>
      </w:r>
      <w:r w:rsidR="000E6375" w:rsidRPr="005845A2">
        <w:rPr>
          <w:rFonts w:ascii="Verdana" w:hAnsi="Verdana"/>
          <w:sz w:val="20"/>
          <w:szCs w:val="20"/>
        </w:rPr>
        <w:t>:</w:t>
      </w:r>
    </w:p>
    <w:p w:rsidR="00CC6D0C" w:rsidRPr="005845A2" w:rsidRDefault="00CC6D0C" w:rsidP="000E6375">
      <w:pPr>
        <w:rPr>
          <w:rFonts w:ascii="Verdana" w:hAnsi="Verdana"/>
          <w:sz w:val="20"/>
          <w:szCs w:val="20"/>
        </w:rPr>
      </w:pPr>
      <w:r w:rsidRPr="005845A2">
        <w:rPr>
          <w:rFonts w:ascii="Verdana" w:hAnsi="Verdana"/>
          <w:sz w:val="20"/>
          <w:szCs w:val="20"/>
        </w:rPr>
        <w:t xml:space="preserve">              Issue</w:t>
      </w:r>
      <w:r w:rsidRPr="005845A2">
        <w:rPr>
          <w:rFonts w:ascii="Verdana" w:hAnsi="Verdana"/>
          <w:sz w:val="20"/>
          <w:szCs w:val="20"/>
        </w:rPr>
        <w:tab/>
      </w:r>
      <w:r w:rsidRPr="005845A2">
        <w:rPr>
          <w:rFonts w:ascii="Verdana" w:hAnsi="Verdana"/>
          <w:sz w:val="20"/>
          <w:szCs w:val="20"/>
        </w:rPr>
        <w:tab/>
      </w:r>
      <w:r w:rsidRPr="005845A2">
        <w:rPr>
          <w:rFonts w:ascii="Verdana" w:hAnsi="Verdana"/>
          <w:sz w:val="20"/>
          <w:szCs w:val="20"/>
        </w:rPr>
        <w:tab/>
      </w:r>
      <w:r w:rsidRPr="005845A2">
        <w:rPr>
          <w:rFonts w:ascii="Verdana" w:hAnsi="Verdana"/>
          <w:sz w:val="20"/>
          <w:szCs w:val="20"/>
        </w:rPr>
        <w:tab/>
      </w:r>
      <w:r w:rsidRPr="005845A2">
        <w:rPr>
          <w:rFonts w:ascii="Verdana" w:hAnsi="Verdana"/>
          <w:sz w:val="20"/>
          <w:szCs w:val="20"/>
        </w:rPr>
        <w:tab/>
      </w:r>
      <w:r w:rsidRPr="005845A2">
        <w:rPr>
          <w:rFonts w:ascii="Verdana" w:hAnsi="Verdana"/>
          <w:sz w:val="20"/>
          <w:szCs w:val="20"/>
        </w:rPr>
        <w:tab/>
      </w:r>
      <w:r w:rsidRPr="005845A2">
        <w:rPr>
          <w:rFonts w:ascii="Verdana" w:hAnsi="Verdana"/>
          <w:sz w:val="20"/>
          <w:szCs w:val="20"/>
        </w:rPr>
        <w:tab/>
        <w:t>Response</w:t>
      </w:r>
    </w:p>
    <w:tbl>
      <w:tblPr>
        <w:tblStyle w:val="TableGrid"/>
        <w:tblW w:w="9242" w:type="dxa"/>
        <w:tblLook w:val="04A0" w:firstRow="1" w:lastRow="0" w:firstColumn="1" w:lastColumn="0" w:noHBand="0" w:noVBand="1"/>
      </w:tblPr>
      <w:tblGrid>
        <w:gridCol w:w="675"/>
        <w:gridCol w:w="4253"/>
        <w:gridCol w:w="4314"/>
      </w:tblGrid>
      <w:tr w:rsidR="00AB2C1D" w:rsidRPr="005845A2" w:rsidTr="00AB2C1D">
        <w:tc>
          <w:tcPr>
            <w:tcW w:w="675" w:type="dxa"/>
          </w:tcPr>
          <w:p w:rsidR="00AB2C1D" w:rsidRPr="005845A2" w:rsidRDefault="00AB2C1D" w:rsidP="000E6375">
            <w:pPr>
              <w:rPr>
                <w:rFonts w:ascii="Verdana" w:hAnsi="Verdana"/>
                <w:sz w:val="20"/>
                <w:szCs w:val="20"/>
              </w:rPr>
            </w:pPr>
            <w:r w:rsidRPr="005845A2">
              <w:rPr>
                <w:rFonts w:ascii="Verdana" w:hAnsi="Verdana"/>
                <w:sz w:val="20"/>
                <w:szCs w:val="20"/>
              </w:rPr>
              <w:t>1.</w:t>
            </w:r>
          </w:p>
        </w:tc>
        <w:tc>
          <w:tcPr>
            <w:tcW w:w="4253" w:type="dxa"/>
          </w:tcPr>
          <w:p w:rsidR="00AB2C1D" w:rsidRPr="005845A2" w:rsidRDefault="0013473C" w:rsidP="0013473C">
            <w:pPr>
              <w:rPr>
                <w:rFonts w:ascii="Verdana" w:hAnsi="Verdana"/>
                <w:sz w:val="20"/>
                <w:szCs w:val="20"/>
              </w:rPr>
            </w:pPr>
            <w:r w:rsidRPr="005845A2">
              <w:rPr>
                <w:rFonts w:ascii="Verdana" w:hAnsi="Verdana"/>
                <w:sz w:val="20"/>
                <w:szCs w:val="20"/>
              </w:rPr>
              <w:t>External Finish</w:t>
            </w:r>
            <w:r w:rsidR="00AB2C1D" w:rsidRPr="005845A2">
              <w:rPr>
                <w:rFonts w:ascii="Verdana" w:hAnsi="Verdana"/>
                <w:sz w:val="20"/>
                <w:szCs w:val="20"/>
              </w:rPr>
              <w:t xml:space="preserve">. </w:t>
            </w:r>
          </w:p>
        </w:tc>
        <w:tc>
          <w:tcPr>
            <w:tcW w:w="4314" w:type="dxa"/>
          </w:tcPr>
          <w:p w:rsidR="00AB2C1D" w:rsidRPr="005845A2" w:rsidRDefault="00AB2C1D" w:rsidP="000178D6">
            <w:pPr>
              <w:rPr>
                <w:rFonts w:ascii="Verdana" w:hAnsi="Verdana"/>
                <w:sz w:val="20"/>
                <w:szCs w:val="20"/>
              </w:rPr>
            </w:pPr>
            <w:r w:rsidRPr="005845A2">
              <w:rPr>
                <w:rFonts w:ascii="Verdana" w:hAnsi="Verdana"/>
                <w:sz w:val="20"/>
                <w:szCs w:val="20"/>
              </w:rPr>
              <w:t xml:space="preserve">Design process </w:t>
            </w:r>
            <w:r w:rsidR="0013473C" w:rsidRPr="005845A2">
              <w:rPr>
                <w:rFonts w:ascii="Verdana" w:hAnsi="Verdana"/>
                <w:sz w:val="20"/>
                <w:szCs w:val="20"/>
              </w:rPr>
              <w:t>taken into account the differing uses and finishes while being sensitive to the existing building.</w:t>
            </w:r>
            <w:r w:rsidRPr="005845A2">
              <w:rPr>
                <w:rFonts w:ascii="Verdana" w:hAnsi="Verdana"/>
                <w:sz w:val="20"/>
                <w:szCs w:val="20"/>
              </w:rPr>
              <w:t xml:space="preserve"> </w:t>
            </w:r>
          </w:p>
        </w:tc>
      </w:tr>
      <w:tr w:rsidR="00AB2C1D" w:rsidRPr="005845A2" w:rsidTr="00AB2C1D">
        <w:tc>
          <w:tcPr>
            <w:tcW w:w="675" w:type="dxa"/>
          </w:tcPr>
          <w:p w:rsidR="00AB2C1D" w:rsidRPr="005845A2" w:rsidRDefault="00AB2C1D" w:rsidP="000E6375">
            <w:pPr>
              <w:rPr>
                <w:rFonts w:ascii="Verdana" w:hAnsi="Verdana"/>
                <w:sz w:val="20"/>
                <w:szCs w:val="20"/>
              </w:rPr>
            </w:pPr>
            <w:r w:rsidRPr="005845A2">
              <w:rPr>
                <w:rFonts w:ascii="Verdana" w:hAnsi="Verdana"/>
                <w:sz w:val="20"/>
                <w:szCs w:val="20"/>
              </w:rPr>
              <w:t>2.</w:t>
            </w:r>
          </w:p>
        </w:tc>
        <w:tc>
          <w:tcPr>
            <w:tcW w:w="4253" w:type="dxa"/>
          </w:tcPr>
          <w:p w:rsidR="00AB2C1D" w:rsidRPr="005845A2" w:rsidRDefault="0013473C" w:rsidP="0013473C">
            <w:pPr>
              <w:rPr>
                <w:rFonts w:ascii="Verdana" w:hAnsi="Verdana"/>
                <w:sz w:val="20"/>
                <w:szCs w:val="20"/>
              </w:rPr>
            </w:pPr>
            <w:r w:rsidRPr="005845A2">
              <w:rPr>
                <w:rFonts w:ascii="Verdana" w:hAnsi="Verdana"/>
                <w:sz w:val="20"/>
                <w:szCs w:val="20"/>
              </w:rPr>
              <w:t>Bin storage and collection</w:t>
            </w:r>
            <w:r w:rsidR="00AB2C1D" w:rsidRPr="005845A2">
              <w:rPr>
                <w:rFonts w:ascii="Verdana" w:hAnsi="Verdana"/>
                <w:sz w:val="20"/>
                <w:szCs w:val="20"/>
              </w:rPr>
              <w:t>.</w:t>
            </w:r>
          </w:p>
        </w:tc>
        <w:tc>
          <w:tcPr>
            <w:tcW w:w="4314" w:type="dxa"/>
          </w:tcPr>
          <w:p w:rsidR="00AB2C1D" w:rsidRPr="005845A2" w:rsidRDefault="0013473C" w:rsidP="007D5885">
            <w:pPr>
              <w:rPr>
                <w:rFonts w:ascii="Verdana" w:hAnsi="Verdana"/>
                <w:sz w:val="20"/>
                <w:szCs w:val="20"/>
              </w:rPr>
            </w:pPr>
            <w:r w:rsidRPr="005845A2">
              <w:rPr>
                <w:rFonts w:ascii="Verdana" w:hAnsi="Verdana"/>
                <w:sz w:val="20"/>
                <w:szCs w:val="20"/>
              </w:rPr>
              <w:t xml:space="preserve">Provision for a bin store and access to same </w:t>
            </w:r>
            <w:r w:rsidR="00FA59DC" w:rsidRPr="005845A2">
              <w:rPr>
                <w:rFonts w:ascii="Verdana" w:hAnsi="Verdana"/>
                <w:sz w:val="20"/>
                <w:szCs w:val="20"/>
              </w:rPr>
              <w:t>is included in</w:t>
            </w:r>
            <w:r w:rsidRPr="005845A2">
              <w:rPr>
                <w:rFonts w:ascii="Verdana" w:hAnsi="Verdana"/>
                <w:sz w:val="20"/>
                <w:szCs w:val="20"/>
              </w:rPr>
              <w:t xml:space="preserve"> the design.</w:t>
            </w:r>
            <w:r w:rsidR="007D5885" w:rsidRPr="005845A2">
              <w:rPr>
                <w:rFonts w:ascii="Verdana" w:hAnsi="Verdana"/>
                <w:sz w:val="20"/>
                <w:szCs w:val="20"/>
              </w:rPr>
              <w:t xml:space="preserve"> </w:t>
            </w:r>
          </w:p>
        </w:tc>
      </w:tr>
      <w:tr w:rsidR="00AB2C1D" w:rsidRPr="005845A2" w:rsidTr="00AB2C1D">
        <w:tc>
          <w:tcPr>
            <w:tcW w:w="675" w:type="dxa"/>
          </w:tcPr>
          <w:p w:rsidR="00AB2C1D" w:rsidRPr="005845A2" w:rsidRDefault="00AB2C1D" w:rsidP="000E6375">
            <w:pPr>
              <w:rPr>
                <w:rFonts w:ascii="Verdana" w:hAnsi="Verdana"/>
                <w:sz w:val="20"/>
                <w:szCs w:val="20"/>
              </w:rPr>
            </w:pPr>
            <w:r w:rsidRPr="005845A2">
              <w:rPr>
                <w:rFonts w:ascii="Verdana" w:hAnsi="Verdana"/>
                <w:sz w:val="20"/>
                <w:szCs w:val="20"/>
              </w:rPr>
              <w:t>3</w:t>
            </w:r>
          </w:p>
        </w:tc>
        <w:tc>
          <w:tcPr>
            <w:tcW w:w="4253" w:type="dxa"/>
          </w:tcPr>
          <w:p w:rsidR="00AB2C1D" w:rsidRPr="005845A2" w:rsidRDefault="0013473C" w:rsidP="0013473C">
            <w:pPr>
              <w:rPr>
                <w:rFonts w:ascii="Verdana" w:hAnsi="Verdana"/>
                <w:sz w:val="20"/>
                <w:szCs w:val="20"/>
              </w:rPr>
            </w:pPr>
            <w:r w:rsidRPr="005845A2">
              <w:rPr>
                <w:rFonts w:ascii="Verdana" w:hAnsi="Verdana"/>
                <w:sz w:val="20"/>
                <w:szCs w:val="20"/>
              </w:rPr>
              <w:t>T</w:t>
            </w:r>
            <w:r w:rsidR="00AB2C1D" w:rsidRPr="005845A2">
              <w:rPr>
                <w:rFonts w:ascii="Verdana" w:hAnsi="Verdana"/>
                <w:sz w:val="20"/>
                <w:szCs w:val="20"/>
              </w:rPr>
              <w:t xml:space="preserve">raffic management </w:t>
            </w:r>
            <w:r w:rsidRPr="005845A2">
              <w:rPr>
                <w:rFonts w:ascii="Verdana" w:hAnsi="Verdana"/>
                <w:sz w:val="20"/>
                <w:szCs w:val="20"/>
              </w:rPr>
              <w:t>and parking allocation</w:t>
            </w:r>
            <w:r w:rsidR="00AB2C1D" w:rsidRPr="005845A2">
              <w:rPr>
                <w:rFonts w:ascii="Verdana" w:hAnsi="Verdana"/>
                <w:sz w:val="20"/>
                <w:szCs w:val="20"/>
              </w:rPr>
              <w:t>.</w:t>
            </w:r>
          </w:p>
        </w:tc>
        <w:tc>
          <w:tcPr>
            <w:tcW w:w="4314" w:type="dxa"/>
          </w:tcPr>
          <w:p w:rsidR="00AB2C1D" w:rsidRPr="005845A2" w:rsidRDefault="00793CE6" w:rsidP="007D5885">
            <w:pPr>
              <w:rPr>
                <w:rFonts w:ascii="Verdana" w:hAnsi="Verdana"/>
                <w:sz w:val="20"/>
                <w:szCs w:val="20"/>
              </w:rPr>
            </w:pPr>
            <w:r w:rsidRPr="005845A2">
              <w:rPr>
                <w:rFonts w:ascii="Verdana" w:hAnsi="Verdana"/>
                <w:sz w:val="20"/>
                <w:szCs w:val="20"/>
              </w:rPr>
              <w:t>Delineated</w:t>
            </w:r>
            <w:r w:rsidR="0013473C" w:rsidRPr="005845A2">
              <w:rPr>
                <w:rFonts w:ascii="Verdana" w:hAnsi="Verdana"/>
                <w:sz w:val="20"/>
                <w:szCs w:val="20"/>
              </w:rPr>
              <w:t xml:space="preserve"> parking has been included in the design.  The building is accommodating similar </w:t>
            </w:r>
            <w:r w:rsidR="007D5885" w:rsidRPr="005845A2">
              <w:rPr>
                <w:rFonts w:ascii="Verdana" w:hAnsi="Verdana"/>
                <w:sz w:val="20"/>
                <w:szCs w:val="20"/>
              </w:rPr>
              <w:t>groups which were previous located on the site</w:t>
            </w:r>
            <w:r w:rsidR="0013473C" w:rsidRPr="005845A2">
              <w:rPr>
                <w:rFonts w:ascii="Verdana" w:hAnsi="Verdana"/>
                <w:sz w:val="20"/>
                <w:szCs w:val="20"/>
              </w:rPr>
              <w:t xml:space="preserve"> and Transport </w:t>
            </w:r>
            <w:proofErr w:type="gramStart"/>
            <w:r w:rsidR="0013473C" w:rsidRPr="005845A2">
              <w:rPr>
                <w:rFonts w:ascii="Verdana" w:hAnsi="Verdana"/>
                <w:sz w:val="20"/>
                <w:szCs w:val="20"/>
              </w:rPr>
              <w:t>have</w:t>
            </w:r>
            <w:proofErr w:type="gramEnd"/>
            <w:r w:rsidR="0013473C" w:rsidRPr="005845A2">
              <w:rPr>
                <w:rFonts w:ascii="Verdana" w:hAnsi="Verdana"/>
                <w:sz w:val="20"/>
                <w:szCs w:val="20"/>
              </w:rPr>
              <w:t xml:space="preserve"> raised no objections.</w:t>
            </w:r>
          </w:p>
        </w:tc>
      </w:tr>
      <w:tr w:rsidR="00AB2C1D" w:rsidRPr="005845A2" w:rsidTr="00AB2C1D">
        <w:tc>
          <w:tcPr>
            <w:tcW w:w="675" w:type="dxa"/>
          </w:tcPr>
          <w:p w:rsidR="00AB2C1D" w:rsidRPr="005845A2" w:rsidRDefault="00793CE6" w:rsidP="000E6375">
            <w:pPr>
              <w:rPr>
                <w:rFonts w:ascii="Verdana" w:hAnsi="Verdana"/>
                <w:sz w:val="20"/>
                <w:szCs w:val="20"/>
              </w:rPr>
            </w:pPr>
            <w:r w:rsidRPr="005845A2">
              <w:rPr>
                <w:rFonts w:ascii="Verdana" w:hAnsi="Verdana"/>
                <w:sz w:val="20"/>
                <w:szCs w:val="20"/>
              </w:rPr>
              <w:t>4</w:t>
            </w:r>
          </w:p>
        </w:tc>
        <w:tc>
          <w:tcPr>
            <w:tcW w:w="4253" w:type="dxa"/>
          </w:tcPr>
          <w:p w:rsidR="00AB2C1D" w:rsidRPr="005845A2" w:rsidRDefault="00AB2C1D" w:rsidP="0013473C">
            <w:pPr>
              <w:rPr>
                <w:rFonts w:ascii="Verdana" w:hAnsi="Verdana"/>
                <w:sz w:val="20"/>
                <w:szCs w:val="20"/>
              </w:rPr>
            </w:pPr>
            <w:r w:rsidRPr="005845A2">
              <w:rPr>
                <w:rFonts w:ascii="Verdana" w:hAnsi="Verdana"/>
                <w:sz w:val="20"/>
                <w:szCs w:val="20"/>
              </w:rPr>
              <w:t xml:space="preserve">Provision for shrubbery &amp; trees along inside wall along Park Close. Garden of </w:t>
            </w:r>
            <w:r w:rsidR="00D2112A" w:rsidRPr="005845A2">
              <w:rPr>
                <w:rFonts w:ascii="Verdana" w:hAnsi="Verdana"/>
                <w:sz w:val="20"/>
                <w:szCs w:val="20"/>
              </w:rPr>
              <w:t>Remembrance</w:t>
            </w:r>
            <w:r w:rsidRPr="005845A2">
              <w:rPr>
                <w:rFonts w:ascii="Verdana" w:hAnsi="Verdana"/>
                <w:color w:val="FF0000"/>
                <w:sz w:val="20"/>
                <w:szCs w:val="20"/>
              </w:rPr>
              <w:t xml:space="preserve"> </w:t>
            </w:r>
            <w:r w:rsidRPr="005845A2">
              <w:rPr>
                <w:rFonts w:ascii="Verdana" w:hAnsi="Verdana"/>
                <w:sz w:val="20"/>
                <w:szCs w:val="20"/>
              </w:rPr>
              <w:t>with stone plaque</w:t>
            </w:r>
          </w:p>
        </w:tc>
        <w:tc>
          <w:tcPr>
            <w:tcW w:w="4314" w:type="dxa"/>
          </w:tcPr>
          <w:p w:rsidR="00AB2C1D" w:rsidRPr="005845A2" w:rsidRDefault="00793CE6" w:rsidP="00714585">
            <w:pPr>
              <w:rPr>
                <w:rFonts w:ascii="Verdana" w:hAnsi="Verdana"/>
                <w:sz w:val="20"/>
                <w:szCs w:val="20"/>
              </w:rPr>
            </w:pPr>
            <w:r w:rsidRPr="005845A2">
              <w:rPr>
                <w:rFonts w:ascii="Verdana" w:hAnsi="Verdana"/>
                <w:sz w:val="20"/>
                <w:szCs w:val="20"/>
              </w:rPr>
              <w:t>Landscaping will be designed in consultation with Users and Parks Department</w:t>
            </w:r>
          </w:p>
        </w:tc>
      </w:tr>
      <w:tr w:rsidR="00AB2C1D" w:rsidRPr="005845A2" w:rsidTr="00AB2C1D">
        <w:tc>
          <w:tcPr>
            <w:tcW w:w="675" w:type="dxa"/>
          </w:tcPr>
          <w:p w:rsidR="00AB2C1D" w:rsidRPr="005845A2" w:rsidRDefault="00AB2C1D" w:rsidP="000E6375">
            <w:pPr>
              <w:rPr>
                <w:rFonts w:ascii="Verdana" w:hAnsi="Verdana"/>
                <w:sz w:val="20"/>
                <w:szCs w:val="20"/>
              </w:rPr>
            </w:pPr>
            <w:r w:rsidRPr="005845A2">
              <w:rPr>
                <w:rFonts w:ascii="Verdana" w:hAnsi="Verdana"/>
                <w:sz w:val="20"/>
                <w:szCs w:val="20"/>
              </w:rPr>
              <w:t>6</w:t>
            </w:r>
          </w:p>
        </w:tc>
        <w:tc>
          <w:tcPr>
            <w:tcW w:w="4253" w:type="dxa"/>
          </w:tcPr>
          <w:p w:rsidR="00AB2C1D" w:rsidRPr="005845A2" w:rsidRDefault="00AB2C1D" w:rsidP="0013473C">
            <w:pPr>
              <w:rPr>
                <w:rFonts w:ascii="Verdana" w:hAnsi="Verdana"/>
                <w:sz w:val="20"/>
                <w:szCs w:val="20"/>
              </w:rPr>
            </w:pPr>
            <w:r w:rsidRPr="005845A2">
              <w:rPr>
                <w:rFonts w:ascii="Verdana" w:hAnsi="Verdana"/>
                <w:sz w:val="20"/>
                <w:szCs w:val="20"/>
              </w:rPr>
              <w:t>Ad</w:t>
            </w:r>
            <w:r w:rsidR="001B6768" w:rsidRPr="005845A2">
              <w:rPr>
                <w:rFonts w:ascii="Verdana" w:hAnsi="Verdana"/>
                <w:sz w:val="20"/>
                <w:szCs w:val="20"/>
              </w:rPr>
              <w:t>ditional accommodation for live-</w:t>
            </w:r>
            <w:r w:rsidRPr="005845A2">
              <w:rPr>
                <w:rFonts w:ascii="Verdana" w:hAnsi="Verdana"/>
                <w:sz w:val="20"/>
                <w:szCs w:val="20"/>
              </w:rPr>
              <w:t>in caretaker</w:t>
            </w:r>
          </w:p>
        </w:tc>
        <w:tc>
          <w:tcPr>
            <w:tcW w:w="4314" w:type="dxa"/>
          </w:tcPr>
          <w:p w:rsidR="00AB2C1D" w:rsidRPr="005845A2" w:rsidRDefault="001B6768" w:rsidP="00F365B2">
            <w:pPr>
              <w:rPr>
                <w:rFonts w:ascii="Verdana" w:hAnsi="Verdana"/>
                <w:sz w:val="20"/>
                <w:szCs w:val="20"/>
              </w:rPr>
            </w:pPr>
            <w:r w:rsidRPr="005845A2">
              <w:rPr>
                <w:rFonts w:ascii="Verdana" w:hAnsi="Verdana"/>
                <w:sz w:val="20"/>
                <w:szCs w:val="20"/>
              </w:rPr>
              <w:t>Not related to the Part</w:t>
            </w:r>
            <w:r w:rsidR="00793CE6" w:rsidRPr="005845A2">
              <w:rPr>
                <w:rFonts w:ascii="Verdana" w:hAnsi="Verdana"/>
                <w:color w:val="FF0000"/>
                <w:sz w:val="20"/>
                <w:szCs w:val="20"/>
              </w:rPr>
              <w:t xml:space="preserve"> </w:t>
            </w:r>
            <w:r w:rsidR="00793CE6" w:rsidRPr="005845A2">
              <w:rPr>
                <w:rFonts w:ascii="Verdana" w:hAnsi="Verdana"/>
                <w:sz w:val="20"/>
                <w:szCs w:val="20"/>
              </w:rPr>
              <w:t>8</w:t>
            </w:r>
          </w:p>
        </w:tc>
      </w:tr>
    </w:tbl>
    <w:p w:rsidR="005C22D1" w:rsidRPr="005845A2" w:rsidRDefault="005C22D1" w:rsidP="000E6375">
      <w:pPr>
        <w:rPr>
          <w:rFonts w:ascii="Verdana" w:hAnsi="Verdana"/>
          <w:sz w:val="20"/>
          <w:szCs w:val="20"/>
          <w:highlight w:val="yellow"/>
        </w:rPr>
      </w:pPr>
    </w:p>
    <w:p w:rsidR="00AF7D26" w:rsidRPr="005845A2" w:rsidRDefault="007A3C3E" w:rsidP="007A3C3E">
      <w:pPr>
        <w:pStyle w:val="Heading1"/>
        <w:rPr>
          <w:rFonts w:ascii="Verdana" w:hAnsi="Verdana"/>
        </w:rPr>
      </w:pPr>
      <w:r w:rsidRPr="005845A2">
        <w:rPr>
          <w:rFonts w:ascii="Verdana" w:hAnsi="Verdana"/>
        </w:rPr>
        <w:t xml:space="preserve">10. </w:t>
      </w:r>
      <w:r w:rsidR="00AF7D26" w:rsidRPr="005845A2">
        <w:rPr>
          <w:rFonts w:ascii="Verdana" w:hAnsi="Verdana"/>
        </w:rPr>
        <w:t>CONCLUSION:</w:t>
      </w:r>
    </w:p>
    <w:p w:rsidR="00807A7A" w:rsidRPr="005845A2" w:rsidRDefault="00AF7D26" w:rsidP="00807A7A">
      <w:pPr>
        <w:jc w:val="both"/>
        <w:rPr>
          <w:rFonts w:ascii="Verdana" w:eastAsia="Times New Roman" w:hAnsi="Verdana" w:cs="Calibri"/>
          <w:lang w:eastAsia="en-GB"/>
        </w:rPr>
      </w:pPr>
      <w:r w:rsidRPr="005845A2">
        <w:rPr>
          <w:rFonts w:ascii="Verdana" w:hAnsi="Verdana"/>
          <w:bCs/>
          <w:sz w:val="20"/>
        </w:rPr>
        <w:t xml:space="preserve">The proposed development is in accordance with the zoning objective of the area as set out in the Dún Laoghaire-Rathdown County Development Plan, 2010-2016.  </w:t>
      </w:r>
      <w:r w:rsidR="00807A7A" w:rsidRPr="005845A2">
        <w:rPr>
          <w:rFonts w:ascii="Verdana" w:hAnsi="Verdana"/>
          <w:bCs/>
          <w:sz w:val="20"/>
        </w:rPr>
        <w:t xml:space="preserve">The </w:t>
      </w:r>
      <w:r w:rsidR="00D20548" w:rsidRPr="005845A2">
        <w:rPr>
          <w:rFonts w:ascii="Verdana" w:hAnsi="Verdana"/>
          <w:bCs/>
          <w:sz w:val="20"/>
        </w:rPr>
        <w:t>development accords</w:t>
      </w:r>
      <w:r w:rsidRPr="005845A2">
        <w:rPr>
          <w:rFonts w:ascii="Verdana" w:hAnsi="Verdana"/>
          <w:bCs/>
          <w:sz w:val="20"/>
        </w:rPr>
        <w:t xml:space="preserve"> with the proper planning and sustainable development of the area.</w:t>
      </w:r>
      <w:r w:rsidR="00807A7A" w:rsidRPr="005845A2">
        <w:rPr>
          <w:rFonts w:ascii="Verdana" w:eastAsia="Times New Roman" w:hAnsi="Verdana" w:cs="Calibri"/>
          <w:lang w:eastAsia="en-GB"/>
        </w:rPr>
        <w:t xml:space="preserve"> </w:t>
      </w:r>
    </w:p>
    <w:p w:rsidR="003B2FD5" w:rsidRPr="005845A2" w:rsidRDefault="007A3C3E" w:rsidP="007A3C3E">
      <w:pPr>
        <w:pStyle w:val="Heading1"/>
        <w:rPr>
          <w:rFonts w:ascii="Verdana" w:hAnsi="Verdana"/>
        </w:rPr>
      </w:pPr>
      <w:r w:rsidRPr="005845A2">
        <w:rPr>
          <w:rFonts w:ascii="Verdana" w:hAnsi="Verdana"/>
        </w:rPr>
        <w:t>1</w:t>
      </w:r>
      <w:r w:rsidR="00FA59DC" w:rsidRPr="005845A2">
        <w:rPr>
          <w:rFonts w:ascii="Verdana" w:hAnsi="Verdana"/>
        </w:rPr>
        <w:t>1</w:t>
      </w:r>
      <w:r w:rsidRPr="005845A2">
        <w:rPr>
          <w:rFonts w:ascii="Verdana" w:hAnsi="Verdana"/>
        </w:rPr>
        <w:t xml:space="preserve">. </w:t>
      </w:r>
      <w:r w:rsidR="003B2FD5" w:rsidRPr="005845A2">
        <w:rPr>
          <w:rFonts w:ascii="Verdana" w:hAnsi="Verdana"/>
        </w:rPr>
        <w:t>RECOMMENDATION:</w:t>
      </w:r>
    </w:p>
    <w:p w:rsidR="00044030" w:rsidRPr="005845A2" w:rsidRDefault="003B2FD5" w:rsidP="00044030">
      <w:pPr>
        <w:autoSpaceDE w:val="0"/>
        <w:autoSpaceDN w:val="0"/>
        <w:adjustRightInd w:val="0"/>
        <w:spacing w:after="0" w:line="240" w:lineRule="auto"/>
        <w:rPr>
          <w:rFonts w:ascii="Verdana" w:hAnsi="Verdana" w:cs="Verdana"/>
          <w:color w:val="FF0000"/>
          <w:sz w:val="20"/>
          <w:szCs w:val="20"/>
          <w:lang w:val="en-IE"/>
        </w:rPr>
      </w:pPr>
      <w:r w:rsidRPr="005845A2">
        <w:rPr>
          <w:rFonts w:ascii="Verdana" w:hAnsi="Verdana"/>
          <w:bCs/>
          <w:sz w:val="20"/>
        </w:rPr>
        <w:t xml:space="preserve">The proposed development is considered to be in accordance with the provisions of the 2010-2016 Dún Laoghaire-Rathdown County Development Plan and with the proper planning and sustainable development of the area.  </w:t>
      </w:r>
      <w:r w:rsidR="00044030" w:rsidRPr="005845A2">
        <w:rPr>
          <w:rFonts w:ascii="Verdana" w:hAnsi="Verdana" w:cs="Verdana"/>
          <w:sz w:val="20"/>
          <w:szCs w:val="20"/>
          <w:lang w:val="en-IE"/>
        </w:rPr>
        <w:t xml:space="preserve">In accordance with the legislation, the proposed development may be carried out as recommended in the Chief Executive’s Report, unless the Council, by resolution, decides to vary or modify the development otherwise than as recommended, or decides not to proceed with the development. </w:t>
      </w:r>
    </w:p>
    <w:p w:rsidR="00044030" w:rsidRPr="005845A2" w:rsidRDefault="00044030" w:rsidP="00044030">
      <w:pPr>
        <w:autoSpaceDE w:val="0"/>
        <w:autoSpaceDN w:val="0"/>
        <w:adjustRightInd w:val="0"/>
        <w:spacing w:after="0" w:line="240" w:lineRule="auto"/>
        <w:rPr>
          <w:rFonts w:ascii="Verdana" w:hAnsi="Verdana" w:cs="Verdana"/>
          <w:color w:val="FF0000"/>
          <w:sz w:val="20"/>
          <w:szCs w:val="20"/>
          <w:lang w:val="en-IE"/>
        </w:rPr>
      </w:pPr>
    </w:p>
    <w:p w:rsidR="002B2014" w:rsidRPr="005845A2" w:rsidRDefault="003B2FD5" w:rsidP="00044030">
      <w:pPr>
        <w:autoSpaceDE w:val="0"/>
        <w:autoSpaceDN w:val="0"/>
        <w:adjustRightInd w:val="0"/>
        <w:spacing w:after="0" w:line="240" w:lineRule="auto"/>
        <w:rPr>
          <w:rFonts w:ascii="Verdana" w:hAnsi="Verdana"/>
          <w:bCs/>
          <w:sz w:val="20"/>
        </w:rPr>
      </w:pPr>
      <w:r w:rsidRPr="005845A2">
        <w:rPr>
          <w:rFonts w:ascii="Verdana" w:hAnsi="Verdana"/>
          <w:bCs/>
          <w:sz w:val="20"/>
        </w:rPr>
        <w:t xml:space="preserve">It is recommended that a decision be made by the Elected Members of the Council to </w:t>
      </w:r>
      <w:r w:rsidR="00232270" w:rsidRPr="005845A2">
        <w:rPr>
          <w:rFonts w:ascii="Verdana" w:hAnsi="Verdana"/>
          <w:b/>
          <w:bCs/>
          <w:sz w:val="20"/>
          <w:u w:val="single"/>
        </w:rPr>
        <w:t>proceed</w:t>
      </w:r>
      <w:r w:rsidR="00232270" w:rsidRPr="005845A2">
        <w:rPr>
          <w:rFonts w:ascii="Verdana" w:hAnsi="Verdana"/>
          <w:b/>
          <w:bCs/>
          <w:sz w:val="20"/>
        </w:rPr>
        <w:t xml:space="preserve"> </w:t>
      </w:r>
      <w:r w:rsidRPr="005845A2">
        <w:rPr>
          <w:rFonts w:ascii="Verdana" w:hAnsi="Verdana"/>
          <w:bCs/>
          <w:sz w:val="20"/>
        </w:rPr>
        <w:t>with the proposed development in accordance with the drawings, which were on display and to any such minor or immaterial alterations to the plans and particulars of the development</w:t>
      </w:r>
      <w:r w:rsidR="005030A2" w:rsidRPr="005845A2">
        <w:rPr>
          <w:rFonts w:ascii="Verdana" w:hAnsi="Verdana"/>
          <w:bCs/>
          <w:sz w:val="20"/>
        </w:rPr>
        <w:t>.</w:t>
      </w:r>
    </w:p>
    <w:p w:rsidR="00044030" w:rsidRPr="005845A2" w:rsidRDefault="00044030" w:rsidP="00044030">
      <w:pPr>
        <w:autoSpaceDE w:val="0"/>
        <w:autoSpaceDN w:val="0"/>
        <w:adjustRightInd w:val="0"/>
        <w:spacing w:after="0" w:line="240" w:lineRule="auto"/>
        <w:rPr>
          <w:rFonts w:ascii="Verdana" w:hAnsi="Verdana" w:cs="Verdana"/>
          <w:color w:val="FF0000"/>
          <w:sz w:val="20"/>
          <w:szCs w:val="20"/>
          <w:lang w:val="en-IE"/>
        </w:rPr>
      </w:pPr>
    </w:p>
    <w:p w:rsidR="00D913EF" w:rsidRPr="005845A2" w:rsidRDefault="00D913EF" w:rsidP="003B2FD5">
      <w:pPr>
        <w:jc w:val="both"/>
        <w:rPr>
          <w:rFonts w:ascii="Verdana" w:hAnsi="Verdana"/>
          <w:bCs/>
          <w:sz w:val="20"/>
        </w:rPr>
      </w:pPr>
      <w:r w:rsidRPr="005845A2">
        <w:rPr>
          <w:rFonts w:ascii="Verdana" w:hAnsi="Verdana"/>
          <w:bCs/>
          <w:sz w:val="20"/>
        </w:rPr>
        <w:t xml:space="preserve">Subject to the above approval, members are hereby notified in accordance with Section 138 of the Local Government Act, 2001, </w:t>
      </w:r>
      <w:r w:rsidR="00232270" w:rsidRPr="005845A2">
        <w:rPr>
          <w:rFonts w:ascii="Verdana" w:hAnsi="Verdana"/>
          <w:bCs/>
          <w:sz w:val="20"/>
        </w:rPr>
        <w:t xml:space="preserve">as amended, </w:t>
      </w:r>
      <w:r w:rsidRPr="005845A2">
        <w:rPr>
          <w:rFonts w:ascii="Verdana" w:hAnsi="Verdana"/>
          <w:bCs/>
          <w:sz w:val="20"/>
        </w:rPr>
        <w:t>of the intention to proceed with the proposed development.</w:t>
      </w:r>
    </w:p>
    <w:p w:rsidR="00D913EF" w:rsidRPr="005845A2" w:rsidRDefault="00D20548" w:rsidP="00387AB6">
      <w:pPr>
        <w:spacing w:line="240" w:lineRule="auto"/>
        <w:jc w:val="both"/>
        <w:rPr>
          <w:rFonts w:ascii="Verdana" w:hAnsi="Verdana"/>
          <w:bCs/>
          <w:sz w:val="20"/>
        </w:rPr>
      </w:pPr>
      <w:r w:rsidRPr="005845A2">
        <w:rPr>
          <w:rFonts w:ascii="Verdana" w:hAnsi="Verdana"/>
          <w:bCs/>
          <w:sz w:val="20"/>
        </w:rPr>
        <w:t>Dearbhla Lawson</w:t>
      </w:r>
      <w:r w:rsidR="00D913EF" w:rsidRPr="005845A2">
        <w:rPr>
          <w:rFonts w:ascii="Verdana" w:hAnsi="Verdana"/>
          <w:bCs/>
          <w:sz w:val="20"/>
        </w:rPr>
        <w:t xml:space="preserve">, </w:t>
      </w:r>
    </w:p>
    <w:p w:rsidR="00AF7D26" w:rsidRPr="00AF7D26" w:rsidRDefault="00D913EF" w:rsidP="005845A2">
      <w:pPr>
        <w:spacing w:line="240" w:lineRule="auto"/>
        <w:jc w:val="both"/>
        <w:rPr>
          <w:rFonts w:ascii="Verdana" w:hAnsi="Verdana"/>
          <w:color w:val="FF0000"/>
          <w:sz w:val="20"/>
          <w:szCs w:val="20"/>
        </w:rPr>
      </w:pPr>
      <w:r w:rsidRPr="005845A2">
        <w:rPr>
          <w:rFonts w:ascii="Verdana" w:hAnsi="Verdana"/>
          <w:bCs/>
          <w:sz w:val="20"/>
        </w:rPr>
        <w:t xml:space="preserve">Director of </w:t>
      </w:r>
      <w:r w:rsidR="00D20548" w:rsidRPr="005845A2">
        <w:rPr>
          <w:rFonts w:ascii="Verdana" w:hAnsi="Verdana"/>
          <w:bCs/>
          <w:sz w:val="20"/>
        </w:rPr>
        <w:t>Economic, Community &amp; Cultural Development</w:t>
      </w:r>
      <w:bookmarkStart w:id="0" w:name="_GoBack"/>
      <w:bookmarkEnd w:id="0"/>
    </w:p>
    <w:sectPr w:rsidR="00AF7D26" w:rsidRPr="00AF7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8A"/>
    <w:multiLevelType w:val="hybridMultilevel"/>
    <w:tmpl w:val="883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5919"/>
    <w:multiLevelType w:val="hybridMultilevel"/>
    <w:tmpl w:val="3E8E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E18D9"/>
    <w:multiLevelType w:val="hybridMultilevel"/>
    <w:tmpl w:val="83AE2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2239D"/>
    <w:multiLevelType w:val="hybridMultilevel"/>
    <w:tmpl w:val="F9F8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D2C62"/>
    <w:multiLevelType w:val="hybridMultilevel"/>
    <w:tmpl w:val="DD8E3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4D7647"/>
    <w:multiLevelType w:val="hybridMultilevel"/>
    <w:tmpl w:val="92EC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27218"/>
    <w:multiLevelType w:val="hybridMultilevel"/>
    <w:tmpl w:val="C3B6A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4359B9"/>
    <w:multiLevelType w:val="hybridMultilevel"/>
    <w:tmpl w:val="A4501F98"/>
    <w:lvl w:ilvl="0" w:tplc="04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46FD25D7"/>
    <w:multiLevelType w:val="hybridMultilevel"/>
    <w:tmpl w:val="AE407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C7481E"/>
    <w:multiLevelType w:val="hybridMultilevel"/>
    <w:tmpl w:val="C7E0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9B30F2"/>
    <w:multiLevelType w:val="hybridMultilevel"/>
    <w:tmpl w:val="4C46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86200"/>
    <w:multiLevelType w:val="hybridMultilevel"/>
    <w:tmpl w:val="E59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82D4F"/>
    <w:multiLevelType w:val="hybridMultilevel"/>
    <w:tmpl w:val="91F8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FB591B"/>
    <w:multiLevelType w:val="hybridMultilevel"/>
    <w:tmpl w:val="303A9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256946"/>
    <w:multiLevelType w:val="hybridMultilevel"/>
    <w:tmpl w:val="21DC442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8"/>
  </w:num>
  <w:num w:numId="2">
    <w:abstractNumId w:val="2"/>
  </w:num>
  <w:num w:numId="3">
    <w:abstractNumId w:val="0"/>
  </w:num>
  <w:num w:numId="4">
    <w:abstractNumId w:val="12"/>
  </w:num>
  <w:num w:numId="5">
    <w:abstractNumId w:val="1"/>
  </w:num>
  <w:num w:numId="6">
    <w:abstractNumId w:val="11"/>
  </w:num>
  <w:num w:numId="7">
    <w:abstractNumId w:val="7"/>
  </w:num>
  <w:num w:numId="8">
    <w:abstractNumId w:val="6"/>
  </w:num>
  <w:num w:numId="9">
    <w:abstractNumId w:val="10"/>
  </w:num>
  <w:num w:numId="10">
    <w:abstractNumId w:val="5"/>
  </w:num>
  <w:num w:numId="11">
    <w:abstractNumId w:val="14"/>
  </w:num>
  <w:num w:numId="12">
    <w:abstractNumId w:val="13"/>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B1"/>
    <w:rsid w:val="00014410"/>
    <w:rsid w:val="000178D6"/>
    <w:rsid w:val="00026FE0"/>
    <w:rsid w:val="00043651"/>
    <w:rsid w:val="00044030"/>
    <w:rsid w:val="00055F43"/>
    <w:rsid w:val="00056DCB"/>
    <w:rsid w:val="00074797"/>
    <w:rsid w:val="00093441"/>
    <w:rsid w:val="000D4AD0"/>
    <w:rsid w:val="000E6375"/>
    <w:rsid w:val="000F5913"/>
    <w:rsid w:val="001028F1"/>
    <w:rsid w:val="00110324"/>
    <w:rsid w:val="001249D3"/>
    <w:rsid w:val="00125903"/>
    <w:rsid w:val="001313EF"/>
    <w:rsid w:val="0013473C"/>
    <w:rsid w:val="0016018C"/>
    <w:rsid w:val="00185765"/>
    <w:rsid w:val="00194063"/>
    <w:rsid w:val="001A684F"/>
    <w:rsid w:val="001B05E1"/>
    <w:rsid w:val="001B3221"/>
    <w:rsid w:val="001B6768"/>
    <w:rsid w:val="001C241F"/>
    <w:rsid w:val="001E1629"/>
    <w:rsid w:val="00201AB4"/>
    <w:rsid w:val="00203184"/>
    <w:rsid w:val="0020607C"/>
    <w:rsid w:val="00232270"/>
    <w:rsid w:val="00296488"/>
    <w:rsid w:val="002A0965"/>
    <w:rsid w:val="002B2014"/>
    <w:rsid w:val="002B37E9"/>
    <w:rsid w:val="002C67E4"/>
    <w:rsid w:val="002D1AF0"/>
    <w:rsid w:val="002D1BE5"/>
    <w:rsid w:val="002F7341"/>
    <w:rsid w:val="00312858"/>
    <w:rsid w:val="003179A0"/>
    <w:rsid w:val="00330072"/>
    <w:rsid w:val="00330FC6"/>
    <w:rsid w:val="00360743"/>
    <w:rsid w:val="00372A94"/>
    <w:rsid w:val="00372E44"/>
    <w:rsid w:val="00387AB6"/>
    <w:rsid w:val="00391AAA"/>
    <w:rsid w:val="00393A4E"/>
    <w:rsid w:val="003A0764"/>
    <w:rsid w:val="003A0E92"/>
    <w:rsid w:val="003B2FD5"/>
    <w:rsid w:val="003E1DC3"/>
    <w:rsid w:val="003E26E9"/>
    <w:rsid w:val="003E3450"/>
    <w:rsid w:val="00401FEB"/>
    <w:rsid w:val="00407582"/>
    <w:rsid w:val="00417EBC"/>
    <w:rsid w:val="004211A2"/>
    <w:rsid w:val="00422FEC"/>
    <w:rsid w:val="00424595"/>
    <w:rsid w:val="004470F6"/>
    <w:rsid w:val="00462796"/>
    <w:rsid w:val="00470C9A"/>
    <w:rsid w:val="004A457A"/>
    <w:rsid w:val="004A6E94"/>
    <w:rsid w:val="004C1201"/>
    <w:rsid w:val="004C2A2F"/>
    <w:rsid w:val="004C5DCB"/>
    <w:rsid w:val="005030A2"/>
    <w:rsid w:val="0051043F"/>
    <w:rsid w:val="00517ED2"/>
    <w:rsid w:val="0052618A"/>
    <w:rsid w:val="00533B23"/>
    <w:rsid w:val="00545733"/>
    <w:rsid w:val="00550E23"/>
    <w:rsid w:val="005612A4"/>
    <w:rsid w:val="005732F4"/>
    <w:rsid w:val="005845A2"/>
    <w:rsid w:val="00591EFB"/>
    <w:rsid w:val="00596C61"/>
    <w:rsid w:val="005A07E9"/>
    <w:rsid w:val="005C1BCE"/>
    <w:rsid w:val="005C22D1"/>
    <w:rsid w:val="005D2037"/>
    <w:rsid w:val="005E0F03"/>
    <w:rsid w:val="005F38F3"/>
    <w:rsid w:val="00634EFB"/>
    <w:rsid w:val="00657AB1"/>
    <w:rsid w:val="00672463"/>
    <w:rsid w:val="006949FF"/>
    <w:rsid w:val="00695C4D"/>
    <w:rsid w:val="006A21D6"/>
    <w:rsid w:val="006B5BD4"/>
    <w:rsid w:val="006D6732"/>
    <w:rsid w:val="006F6075"/>
    <w:rsid w:val="00710478"/>
    <w:rsid w:val="00713E9F"/>
    <w:rsid w:val="00714585"/>
    <w:rsid w:val="00736B3A"/>
    <w:rsid w:val="00753722"/>
    <w:rsid w:val="00755C89"/>
    <w:rsid w:val="0076018F"/>
    <w:rsid w:val="00774B79"/>
    <w:rsid w:val="007855F1"/>
    <w:rsid w:val="00793CE6"/>
    <w:rsid w:val="00795C8D"/>
    <w:rsid w:val="007A3C3E"/>
    <w:rsid w:val="007A414B"/>
    <w:rsid w:val="007D36A5"/>
    <w:rsid w:val="007D5885"/>
    <w:rsid w:val="007E40E4"/>
    <w:rsid w:val="00805289"/>
    <w:rsid w:val="00807A7A"/>
    <w:rsid w:val="00834F32"/>
    <w:rsid w:val="00842943"/>
    <w:rsid w:val="00843933"/>
    <w:rsid w:val="008470DF"/>
    <w:rsid w:val="00873C7E"/>
    <w:rsid w:val="008A30D8"/>
    <w:rsid w:val="008C31DE"/>
    <w:rsid w:val="008C367F"/>
    <w:rsid w:val="008D74D8"/>
    <w:rsid w:val="008E2183"/>
    <w:rsid w:val="008E4398"/>
    <w:rsid w:val="008F1DB5"/>
    <w:rsid w:val="008F20DF"/>
    <w:rsid w:val="008F2CBE"/>
    <w:rsid w:val="00936146"/>
    <w:rsid w:val="009558F1"/>
    <w:rsid w:val="00965290"/>
    <w:rsid w:val="00965C5A"/>
    <w:rsid w:val="0098036B"/>
    <w:rsid w:val="0098429D"/>
    <w:rsid w:val="009B22B9"/>
    <w:rsid w:val="009B7E9D"/>
    <w:rsid w:val="009C2674"/>
    <w:rsid w:val="009C6D13"/>
    <w:rsid w:val="009F32F5"/>
    <w:rsid w:val="00A0179B"/>
    <w:rsid w:val="00A02DC6"/>
    <w:rsid w:val="00A344E0"/>
    <w:rsid w:val="00A81225"/>
    <w:rsid w:val="00A81354"/>
    <w:rsid w:val="00A822A2"/>
    <w:rsid w:val="00A84394"/>
    <w:rsid w:val="00A85245"/>
    <w:rsid w:val="00A96E54"/>
    <w:rsid w:val="00AA1843"/>
    <w:rsid w:val="00AB2C1D"/>
    <w:rsid w:val="00AB7BF0"/>
    <w:rsid w:val="00AF45C6"/>
    <w:rsid w:val="00AF4EF9"/>
    <w:rsid w:val="00AF7D26"/>
    <w:rsid w:val="00B0466B"/>
    <w:rsid w:val="00B12831"/>
    <w:rsid w:val="00B15CF6"/>
    <w:rsid w:val="00B16A3B"/>
    <w:rsid w:val="00B222AD"/>
    <w:rsid w:val="00B60904"/>
    <w:rsid w:val="00B628B1"/>
    <w:rsid w:val="00B91050"/>
    <w:rsid w:val="00BA550D"/>
    <w:rsid w:val="00BD7F86"/>
    <w:rsid w:val="00BE46FD"/>
    <w:rsid w:val="00C218F7"/>
    <w:rsid w:val="00C4214F"/>
    <w:rsid w:val="00C554DC"/>
    <w:rsid w:val="00C57BBC"/>
    <w:rsid w:val="00C6317F"/>
    <w:rsid w:val="00C6419F"/>
    <w:rsid w:val="00C663E0"/>
    <w:rsid w:val="00C75C68"/>
    <w:rsid w:val="00C8521B"/>
    <w:rsid w:val="00C948B6"/>
    <w:rsid w:val="00CC3E89"/>
    <w:rsid w:val="00CC6D0C"/>
    <w:rsid w:val="00CC735D"/>
    <w:rsid w:val="00CD032C"/>
    <w:rsid w:val="00CD420B"/>
    <w:rsid w:val="00D20548"/>
    <w:rsid w:val="00D2112A"/>
    <w:rsid w:val="00D2498D"/>
    <w:rsid w:val="00D63ADB"/>
    <w:rsid w:val="00D905F8"/>
    <w:rsid w:val="00D913EF"/>
    <w:rsid w:val="00D966D1"/>
    <w:rsid w:val="00DB0E78"/>
    <w:rsid w:val="00DC2CD5"/>
    <w:rsid w:val="00DD03F8"/>
    <w:rsid w:val="00DF78A7"/>
    <w:rsid w:val="00E012F9"/>
    <w:rsid w:val="00E02371"/>
    <w:rsid w:val="00E229DB"/>
    <w:rsid w:val="00E22A81"/>
    <w:rsid w:val="00E36DAA"/>
    <w:rsid w:val="00E4286F"/>
    <w:rsid w:val="00E621AB"/>
    <w:rsid w:val="00E62872"/>
    <w:rsid w:val="00E65998"/>
    <w:rsid w:val="00E81C18"/>
    <w:rsid w:val="00EA0E51"/>
    <w:rsid w:val="00EA721D"/>
    <w:rsid w:val="00EB291B"/>
    <w:rsid w:val="00EB4A40"/>
    <w:rsid w:val="00EB4C02"/>
    <w:rsid w:val="00EC4F1E"/>
    <w:rsid w:val="00ED4A5D"/>
    <w:rsid w:val="00EE355A"/>
    <w:rsid w:val="00F00E59"/>
    <w:rsid w:val="00F13456"/>
    <w:rsid w:val="00F365B2"/>
    <w:rsid w:val="00F40950"/>
    <w:rsid w:val="00F57049"/>
    <w:rsid w:val="00F57D19"/>
    <w:rsid w:val="00F57EDF"/>
    <w:rsid w:val="00F64E98"/>
    <w:rsid w:val="00F67C04"/>
    <w:rsid w:val="00F707FA"/>
    <w:rsid w:val="00F817C7"/>
    <w:rsid w:val="00F871B1"/>
    <w:rsid w:val="00F92C3F"/>
    <w:rsid w:val="00FA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EB4A40"/>
    <w:pPr>
      <w:keepNext/>
      <w:spacing w:after="0" w:line="240" w:lineRule="auto"/>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D26"/>
    <w:rPr>
      <w:color w:val="0000FF"/>
      <w:u w:val="single"/>
    </w:rPr>
  </w:style>
  <w:style w:type="paragraph" w:styleId="ListParagraph">
    <w:name w:val="List Paragraph"/>
    <w:basedOn w:val="Normal"/>
    <w:uiPriority w:val="34"/>
    <w:qFormat/>
    <w:rsid w:val="00D913EF"/>
    <w:pPr>
      <w:ind w:left="720"/>
      <w:contextualSpacing/>
    </w:pPr>
  </w:style>
  <w:style w:type="character" w:customStyle="1" w:styleId="Heading6Char">
    <w:name w:val="Heading 6 Char"/>
    <w:basedOn w:val="DefaultParagraphFont"/>
    <w:link w:val="Heading6"/>
    <w:rsid w:val="00EB4A40"/>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4245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45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9D"/>
    <w:rPr>
      <w:rFonts w:ascii="Tahoma" w:hAnsi="Tahoma" w:cs="Tahoma"/>
      <w:sz w:val="16"/>
      <w:szCs w:val="16"/>
    </w:rPr>
  </w:style>
  <w:style w:type="table" w:styleId="TableGrid">
    <w:name w:val="Table Grid"/>
    <w:basedOn w:val="TableNormal"/>
    <w:uiPriority w:val="59"/>
    <w:rsid w:val="00A96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36146"/>
    <w:pPr>
      <w:spacing w:after="0" w:line="240" w:lineRule="auto"/>
      <w:jc w:val="both"/>
    </w:pPr>
    <w:rPr>
      <w:rFonts w:ascii="Verdana" w:eastAsia="Times New Roman" w:hAnsi="Verdana" w:cs="Times New Roman"/>
      <w:sz w:val="20"/>
      <w:szCs w:val="24"/>
      <w:lang w:val="en-US"/>
    </w:rPr>
  </w:style>
  <w:style w:type="character" w:customStyle="1" w:styleId="BodyText3Char">
    <w:name w:val="Body Text 3 Char"/>
    <w:basedOn w:val="DefaultParagraphFont"/>
    <w:link w:val="BodyText3"/>
    <w:rsid w:val="00936146"/>
    <w:rPr>
      <w:rFonts w:ascii="Verdana" w:eastAsia="Times New Roman" w:hAnsi="Verdana" w:cs="Times New Roman"/>
      <w:sz w:val="20"/>
      <w:szCs w:val="24"/>
      <w:lang w:val="en-US"/>
    </w:rPr>
  </w:style>
  <w:style w:type="paragraph" w:styleId="NoSpacing">
    <w:name w:val="No Spacing"/>
    <w:uiPriority w:val="1"/>
    <w:qFormat/>
    <w:rsid w:val="00672463"/>
    <w:pPr>
      <w:spacing w:after="0" w:line="240" w:lineRule="auto"/>
    </w:pPr>
  </w:style>
  <w:style w:type="character" w:styleId="FollowedHyperlink">
    <w:name w:val="FollowedHyperlink"/>
    <w:basedOn w:val="DefaultParagraphFont"/>
    <w:uiPriority w:val="99"/>
    <w:semiHidden/>
    <w:unhideWhenUsed/>
    <w:rsid w:val="00517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EB4A40"/>
    <w:pPr>
      <w:keepNext/>
      <w:spacing w:after="0" w:line="240" w:lineRule="auto"/>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D26"/>
    <w:rPr>
      <w:color w:val="0000FF"/>
      <w:u w:val="single"/>
    </w:rPr>
  </w:style>
  <w:style w:type="paragraph" w:styleId="ListParagraph">
    <w:name w:val="List Paragraph"/>
    <w:basedOn w:val="Normal"/>
    <w:uiPriority w:val="34"/>
    <w:qFormat/>
    <w:rsid w:val="00D913EF"/>
    <w:pPr>
      <w:ind w:left="720"/>
      <w:contextualSpacing/>
    </w:pPr>
  </w:style>
  <w:style w:type="character" w:customStyle="1" w:styleId="Heading6Char">
    <w:name w:val="Heading 6 Char"/>
    <w:basedOn w:val="DefaultParagraphFont"/>
    <w:link w:val="Heading6"/>
    <w:rsid w:val="00EB4A40"/>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4245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45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9D"/>
    <w:rPr>
      <w:rFonts w:ascii="Tahoma" w:hAnsi="Tahoma" w:cs="Tahoma"/>
      <w:sz w:val="16"/>
      <w:szCs w:val="16"/>
    </w:rPr>
  </w:style>
  <w:style w:type="table" w:styleId="TableGrid">
    <w:name w:val="Table Grid"/>
    <w:basedOn w:val="TableNormal"/>
    <w:uiPriority w:val="59"/>
    <w:rsid w:val="00A96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36146"/>
    <w:pPr>
      <w:spacing w:after="0" w:line="240" w:lineRule="auto"/>
      <w:jc w:val="both"/>
    </w:pPr>
    <w:rPr>
      <w:rFonts w:ascii="Verdana" w:eastAsia="Times New Roman" w:hAnsi="Verdana" w:cs="Times New Roman"/>
      <w:sz w:val="20"/>
      <w:szCs w:val="24"/>
      <w:lang w:val="en-US"/>
    </w:rPr>
  </w:style>
  <w:style w:type="character" w:customStyle="1" w:styleId="BodyText3Char">
    <w:name w:val="Body Text 3 Char"/>
    <w:basedOn w:val="DefaultParagraphFont"/>
    <w:link w:val="BodyText3"/>
    <w:rsid w:val="00936146"/>
    <w:rPr>
      <w:rFonts w:ascii="Verdana" w:eastAsia="Times New Roman" w:hAnsi="Verdana" w:cs="Times New Roman"/>
      <w:sz w:val="20"/>
      <w:szCs w:val="24"/>
      <w:lang w:val="en-US"/>
    </w:rPr>
  </w:style>
  <w:style w:type="paragraph" w:styleId="NoSpacing">
    <w:name w:val="No Spacing"/>
    <w:uiPriority w:val="1"/>
    <w:qFormat/>
    <w:rsid w:val="00672463"/>
    <w:pPr>
      <w:spacing w:after="0" w:line="240" w:lineRule="auto"/>
    </w:pPr>
  </w:style>
  <w:style w:type="character" w:styleId="FollowedHyperlink">
    <w:name w:val="FollowedHyperlink"/>
    <w:basedOn w:val="DefaultParagraphFont"/>
    <w:uiPriority w:val="99"/>
    <w:semiHidden/>
    <w:unhideWhenUsed/>
    <w:rsid w:val="00517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193">
      <w:bodyDiv w:val="1"/>
      <w:marLeft w:val="0"/>
      <w:marRight w:val="0"/>
      <w:marTop w:val="0"/>
      <w:marBottom w:val="0"/>
      <w:divBdr>
        <w:top w:val="none" w:sz="0" w:space="0" w:color="auto"/>
        <w:left w:val="none" w:sz="0" w:space="0" w:color="auto"/>
        <w:bottom w:val="none" w:sz="0" w:space="0" w:color="auto"/>
        <w:right w:val="none" w:sz="0" w:space="0" w:color="auto"/>
      </w:divBdr>
    </w:div>
    <w:div w:id="99296821">
      <w:bodyDiv w:val="1"/>
      <w:marLeft w:val="0"/>
      <w:marRight w:val="0"/>
      <w:marTop w:val="0"/>
      <w:marBottom w:val="0"/>
      <w:divBdr>
        <w:top w:val="none" w:sz="0" w:space="0" w:color="auto"/>
        <w:left w:val="none" w:sz="0" w:space="0" w:color="auto"/>
        <w:bottom w:val="none" w:sz="0" w:space="0" w:color="auto"/>
        <w:right w:val="none" w:sz="0" w:space="0" w:color="auto"/>
      </w:divBdr>
    </w:div>
    <w:div w:id="501430655">
      <w:bodyDiv w:val="1"/>
      <w:marLeft w:val="0"/>
      <w:marRight w:val="0"/>
      <w:marTop w:val="0"/>
      <w:marBottom w:val="0"/>
      <w:divBdr>
        <w:top w:val="none" w:sz="0" w:space="0" w:color="auto"/>
        <w:left w:val="none" w:sz="0" w:space="0" w:color="auto"/>
        <w:bottom w:val="none" w:sz="0" w:space="0" w:color="auto"/>
        <w:right w:val="none" w:sz="0" w:space="0" w:color="auto"/>
      </w:divBdr>
    </w:div>
    <w:div w:id="713117900">
      <w:bodyDiv w:val="1"/>
      <w:marLeft w:val="0"/>
      <w:marRight w:val="0"/>
      <w:marTop w:val="0"/>
      <w:marBottom w:val="0"/>
      <w:divBdr>
        <w:top w:val="none" w:sz="0" w:space="0" w:color="auto"/>
        <w:left w:val="none" w:sz="0" w:space="0" w:color="auto"/>
        <w:bottom w:val="none" w:sz="0" w:space="0" w:color="auto"/>
        <w:right w:val="none" w:sz="0" w:space="0" w:color="auto"/>
      </w:divBdr>
    </w:div>
    <w:div w:id="952906627">
      <w:bodyDiv w:val="1"/>
      <w:marLeft w:val="0"/>
      <w:marRight w:val="0"/>
      <w:marTop w:val="0"/>
      <w:marBottom w:val="0"/>
      <w:divBdr>
        <w:top w:val="none" w:sz="0" w:space="0" w:color="auto"/>
        <w:left w:val="none" w:sz="0" w:space="0" w:color="auto"/>
        <w:bottom w:val="none" w:sz="0" w:space="0" w:color="auto"/>
        <w:right w:val="none" w:sz="0" w:space="0" w:color="auto"/>
      </w:divBdr>
    </w:div>
    <w:div w:id="1645743748">
      <w:bodyDiv w:val="1"/>
      <w:marLeft w:val="0"/>
      <w:marRight w:val="0"/>
      <w:marTop w:val="0"/>
      <w:marBottom w:val="0"/>
      <w:divBdr>
        <w:top w:val="none" w:sz="0" w:space="0" w:color="auto"/>
        <w:left w:val="none" w:sz="0" w:space="0" w:color="auto"/>
        <w:bottom w:val="none" w:sz="0" w:space="0" w:color="auto"/>
        <w:right w:val="none" w:sz="0" w:space="0" w:color="auto"/>
      </w:divBdr>
    </w:div>
    <w:div w:id="1879079005">
      <w:bodyDiv w:val="1"/>
      <w:marLeft w:val="0"/>
      <w:marRight w:val="0"/>
      <w:marTop w:val="0"/>
      <w:marBottom w:val="0"/>
      <w:divBdr>
        <w:top w:val="none" w:sz="0" w:space="0" w:color="auto"/>
        <w:left w:val="none" w:sz="0" w:space="0" w:color="auto"/>
        <w:bottom w:val="none" w:sz="0" w:space="0" w:color="auto"/>
        <w:right w:val="none" w:sz="0" w:space="0" w:color="auto"/>
      </w:divBdr>
    </w:div>
    <w:div w:id="19281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lr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8597-923F-4248-A4DC-8926D1F0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DLRCC</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Maura</dc:creator>
  <cp:lastModifiedBy>Baber Deirdre</cp:lastModifiedBy>
  <cp:revision>2</cp:revision>
  <cp:lastPrinted>2015-12-02T16:36:00Z</cp:lastPrinted>
  <dcterms:created xsi:type="dcterms:W3CDTF">2015-12-04T11:08:00Z</dcterms:created>
  <dcterms:modified xsi:type="dcterms:W3CDTF">2015-12-04T11:08:00Z</dcterms:modified>
</cp:coreProperties>
</file>